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64E1" w:rsidRDefault="00000000">
      <w:pPr>
        <w:pStyle w:val="Heading2"/>
        <w:keepNext w:val="0"/>
        <w:keepLines w:val="0"/>
        <w:shd w:val="clear" w:color="auto" w:fill="FFFFFF"/>
        <w:spacing w:before="0" w:after="0"/>
        <w:rPr>
          <w:rFonts w:ascii="DM Sans" w:eastAsia="DM Sans" w:hAnsi="DM Sans" w:cs="DM Sans"/>
          <w:b/>
          <w:color w:val="FF0000"/>
          <w:sz w:val="34"/>
          <w:szCs w:val="34"/>
        </w:rPr>
      </w:pPr>
      <w:bookmarkStart w:id="0" w:name="_heading=h.4nz6k04oapsf" w:colFirst="0" w:colLast="0"/>
      <w:bookmarkEnd w:id="0"/>
      <w:r>
        <w:rPr>
          <w:rFonts w:ascii="DM Sans" w:eastAsia="DM Sans" w:hAnsi="DM Sans" w:cs="DM Sans"/>
          <w:b/>
          <w:color w:val="FF0000"/>
          <w:sz w:val="34"/>
          <w:szCs w:val="34"/>
        </w:rPr>
        <w:t>INSTRUCTIONS [Delete before uploading]</w:t>
      </w:r>
    </w:p>
    <w:p w14:paraId="00000002" w14:textId="77777777" w:rsidR="002D64E1" w:rsidRDefault="00000000">
      <w:pPr>
        <w:numPr>
          <w:ilvl w:val="0"/>
          <w:numId w:val="1"/>
        </w:numPr>
        <w:spacing w:after="0"/>
        <w:rPr>
          <w:rFonts w:ascii="DM Sans" w:eastAsia="DM Sans" w:hAnsi="DM Sans" w:cs="DM Sans"/>
        </w:rPr>
      </w:pPr>
      <w:r>
        <w:rPr>
          <w:rFonts w:ascii="DM Sans" w:eastAsia="DM Sans" w:hAnsi="DM Sans" w:cs="DM Sans"/>
          <w:b/>
        </w:rPr>
        <w:t>Formatting:</w:t>
      </w:r>
      <w:r>
        <w:rPr>
          <w:rFonts w:ascii="DM Sans" w:eastAsia="DM Sans" w:hAnsi="DM Sans" w:cs="DM Sans"/>
        </w:rPr>
        <w:t xml:space="preserve"> The preferred format for upload is .docx or pdf without tables or section breaks. </w:t>
      </w:r>
      <w:r>
        <w:rPr>
          <w:rFonts w:ascii="DM Sans" w:eastAsia="DM Sans" w:hAnsi="DM Sans" w:cs="DM Sans"/>
          <w:b/>
          <w:color w:val="00CA88"/>
          <w:sz w:val="22"/>
          <w:szCs w:val="22"/>
        </w:rPr>
        <w:t>A plain paragraph formatting style is strongly preferred</w:t>
      </w:r>
      <w:r>
        <w:rPr>
          <w:rFonts w:ascii="DM Sans" w:eastAsia="DM Sans" w:hAnsi="DM Sans" w:cs="DM Sans"/>
          <w:sz w:val="22"/>
          <w:szCs w:val="22"/>
        </w:rPr>
        <w:t>. This approach ensures that the textual content flows logically and predictably, making it easier for AI algorithms to identify and extract key information. While avoiding intricate layouts, you can still effectively emphasize important points within the text. The use of bold letters, italics, and underlining can add necessary emphasis without disrupting the underlying structural integrity that AI models rely on for efficient data processing. This balance allows for both human readability and optimal AI ingestion, leading to more accurate and reliable data extraction.</w:t>
      </w:r>
    </w:p>
    <w:p w14:paraId="00000003" w14:textId="77777777" w:rsidR="002D64E1" w:rsidRDefault="00000000">
      <w:pPr>
        <w:numPr>
          <w:ilvl w:val="0"/>
          <w:numId w:val="1"/>
        </w:numPr>
        <w:spacing w:after="0"/>
        <w:rPr>
          <w:rFonts w:ascii="DM Sans" w:eastAsia="DM Sans" w:hAnsi="DM Sans" w:cs="DM Sans"/>
        </w:rPr>
      </w:pPr>
      <w:r>
        <w:rPr>
          <w:rFonts w:ascii="DM Sans" w:eastAsia="DM Sans" w:hAnsi="DM Sans" w:cs="DM Sans"/>
          <w:b/>
        </w:rPr>
        <w:t>Rule language:</w:t>
      </w:r>
      <w:r>
        <w:rPr>
          <w:rFonts w:ascii="DM Sans" w:eastAsia="DM Sans" w:hAnsi="DM Sans" w:cs="DM Sans"/>
        </w:rPr>
        <w:t xml:space="preserve"> The Jurist redlining with playbook experience supports both direct legal verbiage and rule explanations. See an example of each below:</w:t>
      </w:r>
    </w:p>
    <w:p w14:paraId="00000004" w14:textId="77777777" w:rsidR="002D64E1" w:rsidRDefault="00000000">
      <w:pPr>
        <w:numPr>
          <w:ilvl w:val="1"/>
          <w:numId w:val="1"/>
        </w:numPr>
        <w:spacing w:after="0"/>
        <w:rPr>
          <w:rFonts w:ascii="DM Sans" w:eastAsia="DM Sans" w:hAnsi="DM Sans" w:cs="DM Sans"/>
          <w:b/>
        </w:rPr>
      </w:pPr>
      <w:r>
        <w:rPr>
          <w:rFonts w:ascii="DM Sans" w:eastAsia="DM Sans" w:hAnsi="DM Sans" w:cs="DM Sans"/>
          <w:b/>
        </w:rPr>
        <w:t>Direct legal verbiage:</w:t>
      </w:r>
    </w:p>
    <w:p w14:paraId="00000005" w14:textId="77777777" w:rsidR="002D64E1" w:rsidRDefault="00000000">
      <w:pPr>
        <w:numPr>
          <w:ilvl w:val="2"/>
          <w:numId w:val="1"/>
        </w:numPr>
        <w:spacing w:after="0"/>
        <w:rPr>
          <w:rFonts w:ascii="DM Sans" w:eastAsia="DM Sans" w:hAnsi="DM Sans" w:cs="DM Sans"/>
          <w:b/>
        </w:rPr>
      </w:pPr>
      <w:r>
        <w:rPr>
          <w:rFonts w:ascii="DM Sans" w:eastAsia="DM Sans" w:hAnsi="DM Sans" w:cs="DM Sans"/>
          <w:b/>
        </w:rPr>
        <w:t xml:space="preserve">Governing Law: </w:t>
      </w:r>
      <w:r>
        <w:rPr>
          <w:rFonts w:ascii="DM Sans" w:eastAsia="DM Sans" w:hAnsi="DM Sans" w:cs="DM Sans"/>
        </w:rPr>
        <w:t>This Agreement shall be governed by and construed in accordance with the laws of the State of Delaware, without regard to its conflict of law principles.</w:t>
      </w:r>
    </w:p>
    <w:p w14:paraId="00000006" w14:textId="77777777" w:rsidR="002D64E1" w:rsidRDefault="00000000">
      <w:pPr>
        <w:numPr>
          <w:ilvl w:val="1"/>
          <w:numId w:val="1"/>
        </w:numPr>
        <w:spacing w:after="0"/>
        <w:rPr>
          <w:rFonts w:ascii="DM Sans" w:eastAsia="DM Sans" w:hAnsi="DM Sans" w:cs="DM Sans"/>
          <w:b/>
        </w:rPr>
      </w:pPr>
      <w:r>
        <w:rPr>
          <w:rFonts w:ascii="DM Sans" w:eastAsia="DM Sans" w:hAnsi="DM Sans" w:cs="DM Sans"/>
          <w:b/>
        </w:rPr>
        <w:t>Rule explanation:</w:t>
      </w:r>
    </w:p>
    <w:p w14:paraId="00000007" w14:textId="77777777" w:rsidR="002D64E1" w:rsidRDefault="00000000">
      <w:pPr>
        <w:numPr>
          <w:ilvl w:val="2"/>
          <w:numId w:val="1"/>
        </w:numPr>
        <w:spacing w:after="0"/>
        <w:rPr>
          <w:rFonts w:ascii="DM Sans" w:eastAsia="DM Sans" w:hAnsi="DM Sans" w:cs="DM Sans"/>
          <w:b/>
        </w:rPr>
      </w:pPr>
      <w:r>
        <w:rPr>
          <w:rFonts w:ascii="DM Sans" w:eastAsia="DM Sans" w:hAnsi="DM Sans" w:cs="DM Sans"/>
          <w:b/>
        </w:rPr>
        <w:t xml:space="preserve">Governing Law: </w:t>
      </w:r>
      <w:r>
        <w:rPr>
          <w:rFonts w:ascii="DM Sans" w:eastAsia="DM Sans" w:hAnsi="DM Sans" w:cs="DM Sans"/>
        </w:rPr>
        <w:t>Always propose standard Delaware governing law as the primary option which includes adhering to the laws of the State of Delaware.</w:t>
      </w:r>
    </w:p>
    <w:p w14:paraId="00000008" w14:textId="77777777" w:rsidR="002D64E1" w:rsidRDefault="00000000">
      <w:pPr>
        <w:numPr>
          <w:ilvl w:val="0"/>
          <w:numId w:val="1"/>
        </w:numPr>
        <w:rPr>
          <w:rFonts w:ascii="DM Sans" w:eastAsia="DM Sans" w:hAnsi="DM Sans" w:cs="DM Sans"/>
          <w:b/>
        </w:rPr>
      </w:pPr>
      <w:r>
        <w:rPr>
          <w:rFonts w:ascii="DM Sans" w:eastAsia="DM Sans" w:hAnsi="DM Sans" w:cs="DM Sans"/>
          <w:b/>
        </w:rPr>
        <w:t xml:space="preserve">Examples of rule application: </w:t>
      </w:r>
      <w:r>
        <w:rPr>
          <w:rFonts w:ascii="DM Sans" w:eastAsia="DM Sans" w:hAnsi="DM Sans" w:cs="DM Sans"/>
        </w:rPr>
        <w:t>To generate consistent redlines that match your style and tone, we recommend including 2-3 examples from previous contracts (this is outlined in the template below).</w:t>
      </w:r>
    </w:p>
    <w:p w14:paraId="00000009" w14:textId="77777777" w:rsidR="002D64E1" w:rsidRDefault="00000000">
      <w:pPr>
        <w:numPr>
          <w:ilvl w:val="0"/>
          <w:numId w:val="1"/>
        </w:numPr>
        <w:rPr>
          <w:rFonts w:ascii="DM Sans" w:eastAsia="DM Sans" w:hAnsi="DM Sans" w:cs="DM Sans"/>
          <w:b/>
          <w:sz w:val="22"/>
          <w:szCs w:val="22"/>
        </w:rPr>
      </w:pPr>
      <w:r>
        <w:rPr>
          <w:rFonts w:ascii="DM Sans" w:eastAsia="DM Sans" w:hAnsi="DM Sans" w:cs="DM Sans"/>
          <w:b/>
          <w:sz w:val="22"/>
          <w:szCs w:val="22"/>
        </w:rPr>
        <w:t>Actionable Language for AI-Ready Playbooks:</w:t>
      </w:r>
      <w:r>
        <w:rPr>
          <w:rFonts w:ascii="DM Sans" w:eastAsia="DM Sans" w:hAnsi="DM Sans" w:cs="DM Sans"/>
          <w:sz w:val="22"/>
          <w:szCs w:val="22"/>
        </w:rPr>
        <w:t xml:space="preserve"> To make your playbook usable not only by lawyers but also by AI tools like Jurist, every instruction must be written in </w:t>
      </w:r>
      <w:r>
        <w:rPr>
          <w:rFonts w:ascii="DM Sans" w:eastAsia="DM Sans" w:hAnsi="DM Sans" w:cs="DM Sans"/>
          <w:b/>
          <w:sz w:val="22"/>
          <w:szCs w:val="22"/>
        </w:rPr>
        <w:t>clear, precise, and executable terms</w:t>
      </w:r>
      <w:r>
        <w:rPr>
          <w:rFonts w:ascii="DM Sans" w:eastAsia="DM Sans" w:hAnsi="DM Sans" w:cs="DM Sans"/>
          <w:sz w:val="22"/>
          <w:szCs w:val="22"/>
        </w:rPr>
        <w:t xml:space="preserve">. Think of your playbook not as guidance for a human expert but as </w:t>
      </w:r>
      <w:r>
        <w:rPr>
          <w:rFonts w:ascii="DM Sans" w:eastAsia="DM Sans" w:hAnsi="DM Sans" w:cs="DM Sans"/>
          <w:b/>
          <w:sz w:val="22"/>
          <w:szCs w:val="22"/>
        </w:rPr>
        <w:t>programming instructions for an AI system</w:t>
      </w:r>
      <w:r>
        <w:rPr>
          <w:rFonts w:ascii="DM Sans" w:eastAsia="DM Sans" w:hAnsi="DM Sans" w:cs="DM Sans"/>
          <w:sz w:val="22"/>
          <w:szCs w:val="22"/>
        </w:rPr>
        <w:t>.</w:t>
      </w:r>
    </w:p>
    <w:p w14:paraId="0000000A" w14:textId="77777777" w:rsidR="002D64E1" w:rsidRDefault="00000000">
      <w:pPr>
        <w:pBdr>
          <w:top w:val="nil"/>
          <w:left w:val="nil"/>
          <w:bottom w:val="nil"/>
          <w:right w:val="nil"/>
          <w:between w:val="nil"/>
        </w:pBdr>
        <w:spacing w:line="240" w:lineRule="auto"/>
        <w:ind w:firstLine="720"/>
        <w:rPr>
          <w:rFonts w:ascii="DM Sans" w:eastAsia="DM Sans" w:hAnsi="DM Sans" w:cs="DM Sans"/>
          <w:color w:val="000000"/>
          <w:sz w:val="22"/>
          <w:szCs w:val="22"/>
        </w:rPr>
      </w:pPr>
      <w:r>
        <w:rPr>
          <w:rFonts w:ascii="DM Sans" w:eastAsia="DM Sans" w:hAnsi="DM Sans" w:cs="DM Sans"/>
          <w:color w:val="000000"/>
          <w:sz w:val="22"/>
          <w:szCs w:val="22"/>
        </w:rPr>
        <w:t>Follow these practices when drafting or revising playbooks:</w:t>
      </w:r>
    </w:p>
    <w:p w14:paraId="0000000B" w14:textId="77777777" w:rsidR="002D64E1" w:rsidRDefault="00000000">
      <w:pPr>
        <w:numPr>
          <w:ilvl w:val="1"/>
          <w:numId w:val="5"/>
        </w:numPr>
        <w:pBdr>
          <w:top w:val="nil"/>
          <w:left w:val="nil"/>
          <w:bottom w:val="nil"/>
          <w:right w:val="nil"/>
          <w:between w:val="nil"/>
        </w:pBdr>
        <w:spacing w:after="0" w:line="240" w:lineRule="auto"/>
        <w:rPr>
          <w:rFonts w:ascii="DM Sans" w:eastAsia="DM Sans" w:hAnsi="DM Sans" w:cs="DM Sans"/>
          <w:color w:val="000000"/>
          <w:sz w:val="22"/>
          <w:szCs w:val="22"/>
        </w:rPr>
      </w:pPr>
      <w:r>
        <w:rPr>
          <w:rFonts w:ascii="DM Sans" w:eastAsia="DM Sans" w:hAnsi="DM Sans" w:cs="DM Sans"/>
          <w:b/>
          <w:color w:val="000000"/>
          <w:sz w:val="22"/>
          <w:szCs w:val="22"/>
        </w:rPr>
        <w:t>Use Specific, Objective Instructions</w:t>
      </w:r>
    </w:p>
    <w:p w14:paraId="0000000C" w14:textId="77777777" w:rsidR="002D64E1" w:rsidRDefault="00000000">
      <w:pPr>
        <w:numPr>
          <w:ilvl w:val="2"/>
          <w:numId w:val="5"/>
        </w:numPr>
        <w:pBdr>
          <w:top w:val="nil"/>
          <w:left w:val="nil"/>
          <w:bottom w:val="nil"/>
          <w:right w:val="nil"/>
          <w:between w:val="nil"/>
        </w:pBdr>
        <w:spacing w:after="0" w:line="240" w:lineRule="auto"/>
        <w:rPr>
          <w:rFonts w:ascii="DM Sans" w:eastAsia="DM Sans" w:hAnsi="DM Sans" w:cs="DM Sans"/>
          <w:color w:val="000000"/>
          <w:sz w:val="22"/>
          <w:szCs w:val="22"/>
        </w:rPr>
      </w:pPr>
      <w:r>
        <w:rPr>
          <w:rFonts w:ascii="DM Sans" w:eastAsia="DM Sans" w:hAnsi="DM Sans" w:cs="DM Sans"/>
          <w:color w:val="000000"/>
          <w:sz w:val="22"/>
          <w:szCs w:val="22"/>
        </w:rPr>
        <w:t>Avoid vague or subjective terms like “Resist,” “Analyze if reasonable,” or “Narrow scope.”</w:t>
      </w:r>
    </w:p>
    <w:p w14:paraId="0000000D"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Replace them with explicit, measurable commands.</w:t>
      </w:r>
    </w:p>
    <w:p w14:paraId="0000000E"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Example: “Reject any limitation of liability clause that caps liability below $500,000.”</w:t>
      </w:r>
    </w:p>
    <w:p w14:paraId="0000000F" w14:textId="77777777" w:rsidR="002D64E1" w:rsidRDefault="002D64E1">
      <w:pPr>
        <w:pBdr>
          <w:top w:val="nil"/>
          <w:left w:val="nil"/>
          <w:bottom w:val="nil"/>
          <w:right w:val="nil"/>
          <w:between w:val="nil"/>
        </w:pBdr>
        <w:spacing w:line="240" w:lineRule="auto"/>
        <w:rPr>
          <w:rFonts w:ascii="DM Sans" w:eastAsia="DM Sans" w:hAnsi="DM Sans" w:cs="DM Sans"/>
          <w:color w:val="000000"/>
          <w:sz w:val="22"/>
          <w:szCs w:val="22"/>
        </w:rPr>
      </w:pPr>
    </w:p>
    <w:p w14:paraId="00000010" w14:textId="77777777" w:rsidR="002D64E1" w:rsidRDefault="00000000">
      <w:pPr>
        <w:numPr>
          <w:ilvl w:val="1"/>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b/>
          <w:color w:val="000000"/>
          <w:sz w:val="22"/>
          <w:szCs w:val="22"/>
        </w:rPr>
        <w:lastRenderedPageBreak/>
        <w:t>Include Preferred Language</w:t>
      </w:r>
    </w:p>
    <w:p w14:paraId="00000011"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xml:space="preserve">Always include the </w:t>
      </w:r>
      <w:r>
        <w:rPr>
          <w:rFonts w:ascii="DM Sans" w:eastAsia="DM Sans" w:hAnsi="DM Sans" w:cs="DM Sans"/>
          <w:b/>
          <w:color w:val="000000"/>
          <w:sz w:val="22"/>
          <w:szCs w:val="22"/>
        </w:rPr>
        <w:t>preferred contract language</w:t>
      </w:r>
      <w:r>
        <w:rPr>
          <w:rFonts w:ascii="DM Sans" w:eastAsia="DM Sans" w:hAnsi="DM Sans" w:cs="DM Sans"/>
          <w:color w:val="000000"/>
          <w:sz w:val="22"/>
          <w:szCs w:val="22"/>
        </w:rPr>
        <w:t xml:space="preserve"> from your master template so the AI knows what to insert.</w:t>
      </w:r>
    </w:p>
    <w:p w14:paraId="00000012"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Action: Extract preferred positions from your standard agreements and add them into the playbook alongside fallback positions.</w:t>
      </w:r>
    </w:p>
    <w:p w14:paraId="00000013" w14:textId="77777777" w:rsidR="002D64E1" w:rsidRDefault="00000000">
      <w:pPr>
        <w:numPr>
          <w:ilvl w:val="1"/>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b/>
          <w:color w:val="000000"/>
          <w:sz w:val="22"/>
          <w:szCs w:val="22"/>
        </w:rPr>
        <w:t>Integrate Linked Content</w:t>
      </w:r>
    </w:p>
    <w:p w14:paraId="00000014"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Do not rely on external links (e.g., “See Company Data Security Policy here”).</w:t>
      </w:r>
    </w:p>
    <w:p w14:paraId="00000015"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Copy the relevant sections into the playbook, or create a separate, clearly referenced playbook module.</w:t>
      </w:r>
    </w:p>
    <w:p w14:paraId="00000016"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Action: Audit your playbook for links and incorporate the necessary text directly.</w:t>
      </w:r>
    </w:p>
    <w:p w14:paraId="00000017" w14:textId="77777777" w:rsidR="002D64E1" w:rsidRDefault="00000000">
      <w:pPr>
        <w:numPr>
          <w:ilvl w:val="1"/>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b/>
          <w:color w:val="000000"/>
          <w:sz w:val="22"/>
          <w:szCs w:val="22"/>
        </w:rPr>
        <w:t>Separate Non-Redlining Instructions</w:t>
      </w:r>
    </w:p>
    <w:p w14:paraId="00000018"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xml:space="preserve">Instructions unrelated to redlines (e.g., “Record subcontractors in internal system”) should be </w:t>
      </w:r>
      <w:r>
        <w:rPr>
          <w:rFonts w:ascii="DM Sans" w:eastAsia="DM Sans" w:hAnsi="DM Sans" w:cs="DM Sans"/>
          <w:b/>
          <w:color w:val="000000"/>
          <w:sz w:val="22"/>
          <w:szCs w:val="22"/>
        </w:rPr>
        <w:t>removed from AI execution</w:t>
      </w:r>
      <w:r>
        <w:rPr>
          <w:rFonts w:ascii="DM Sans" w:eastAsia="DM Sans" w:hAnsi="DM Sans" w:cs="DM Sans"/>
          <w:color w:val="000000"/>
          <w:sz w:val="22"/>
          <w:szCs w:val="22"/>
        </w:rPr>
        <w:t>.</w:t>
      </w:r>
    </w:p>
    <w:p w14:paraId="00000019"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xml:space="preserve">Convert them into </w:t>
      </w:r>
      <w:r>
        <w:rPr>
          <w:rFonts w:ascii="DM Sans" w:eastAsia="DM Sans" w:hAnsi="DM Sans" w:cs="DM Sans"/>
          <w:b/>
          <w:color w:val="000000"/>
          <w:sz w:val="22"/>
          <w:szCs w:val="22"/>
        </w:rPr>
        <w:t>internal notes</w:t>
      </w:r>
      <w:r>
        <w:rPr>
          <w:rFonts w:ascii="DM Sans" w:eastAsia="DM Sans" w:hAnsi="DM Sans" w:cs="DM Sans"/>
          <w:color w:val="000000"/>
          <w:sz w:val="22"/>
          <w:szCs w:val="22"/>
        </w:rPr>
        <w:t xml:space="preserve"> for human users if still important.</w:t>
      </w:r>
    </w:p>
    <w:p w14:paraId="0000001A"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Action: Review each instruction—if it’s not a redline, tag it as “Internal Guidance” only.</w:t>
      </w:r>
    </w:p>
    <w:p w14:paraId="0000001B" w14:textId="77777777" w:rsidR="002D64E1" w:rsidRDefault="00000000">
      <w:pPr>
        <w:numPr>
          <w:ilvl w:val="1"/>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b/>
          <w:color w:val="000000"/>
          <w:sz w:val="22"/>
          <w:szCs w:val="22"/>
        </w:rPr>
        <w:t>Handle Context-Dependent Rules</w:t>
      </w:r>
    </w:p>
    <w:p w14:paraId="0000001C"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Subjective conditions like “Only acceptable if supplier is key” require extra care.</w:t>
      </w:r>
    </w:p>
    <w:p w14:paraId="0000001D"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Either:</w:t>
      </w:r>
    </w:p>
    <w:p w14:paraId="0000001E" w14:textId="77777777" w:rsidR="002D64E1" w:rsidRDefault="00000000">
      <w:pPr>
        <w:numPr>
          <w:ilvl w:val="3"/>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xml:space="preserve">Encode the condition into the playbook with explicit criteria (e.g., “Supplier revenue &gt; $10M = key supplier”), </w:t>
      </w:r>
      <w:r>
        <w:rPr>
          <w:rFonts w:ascii="DM Sans" w:eastAsia="DM Sans" w:hAnsi="DM Sans" w:cs="DM Sans"/>
          <w:b/>
          <w:color w:val="000000"/>
          <w:sz w:val="22"/>
          <w:szCs w:val="22"/>
        </w:rPr>
        <w:t>or</w:t>
      </w:r>
    </w:p>
    <w:p w14:paraId="0000001F" w14:textId="77777777" w:rsidR="002D64E1" w:rsidRDefault="00000000">
      <w:pPr>
        <w:numPr>
          <w:ilvl w:val="3"/>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Train users to provide that context during redlining.</w:t>
      </w:r>
    </w:p>
    <w:p w14:paraId="00000020" w14:textId="77777777" w:rsidR="002D64E1" w:rsidRDefault="00000000">
      <w:pPr>
        <w:numPr>
          <w:ilvl w:val="2"/>
          <w:numId w:val="5"/>
        </w:numPr>
        <w:pBdr>
          <w:top w:val="nil"/>
          <w:left w:val="nil"/>
          <w:bottom w:val="nil"/>
          <w:right w:val="nil"/>
          <w:between w:val="nil"/>
        </w:pBdr>
        <w:spacing w:line="240" w:lineRule="auto"/>
        <w:rPr>
          <w:rFonts w:ascii="DM Sans" w:eastAsia="DM Sans" w:hAnsi="DM Sans" w:cs="DM Sans"/>
          <w:color w:val="000000"/>
          <w:sz w:val="22"/>
          <w:szCs w:val="22"/>
        </w:rPr>
      </w:pPr>
      <w:r>
        <w:rPr>
          <w:rFonts w:ascii="DM Sans" w:eastAsia="DM Sans" w:hAnsi="DM Sans" w:cs="DM Sans"/>
          <w:color w:val="000000"/>
          <w:sz w:val="22"/>
          <w:szCs w:val="22"/>
        </w:rPr>
        <w:t>✅ Action: Add either decision logic or user prompts wherever context is required.</w:t>
      </w:r>
    </w:p>
    <w:p w14:paraId="00000021" w14:textId="77777777" w:rsidR="002D64E1" w:rsidRDefault="00000000">
      <w:pPr>
        <w:numPr>
          <w:ilvl w:val="0"/>
          <w:numId w:val="1"/>
        </w:numPr>
        <w:rPr>
          <w:rFonts w:ascii="DM Sans" w:eastAsia="DM Sans" w:hAnsi="DM Sans" w:cs="DM Sans"/>
          <w:b/>
        </w:rPr>
      </w:pPr>
      <w:r>
        <w:rPr>
          <w:rFonts w:ascii="DM Sans" w:eastAsia="DM Sans" w:hAnsi="DM Sans" w:cs="DM Sans"/>
          <w:b/>
        </w:rPr>
        <w:t>Structure:</w:t>
      </w:r>
      <w:r>
        <w:rPr>
          <w:rFonts w:ascii="DM Sans" w:eastAsia="DM Sans" w:hAnsi="DM Sans" w:cs="DM Sans"/>
          <w:sz w:val="22"/>
          <w:szCs w:val="22"/>
        </w:rPr>
        <w:t xml:space="preserve"> To optimize the effectiveness of generative AI in contract negotiation, it is highly recommended that the contract negotiation playbook adheres to a consistent and standardized structure across all its sections. This uniformity is crucial for ensuring that the AI can efficiently and accurately comprehend and process the information presented. </w:t>
      </w:r>
    </w:p>
    <w:p w14:paraId="00000022" w14:textId="77777777" w:rsidR="002D64E1" w:rsidRDefault="00000000">
      <w:pPr>
        <w:numPr>
          <w:ilvl w:val="0"/>
          <w:numId w:val="1"/>
        </w:numPr>
        <w:rPr>
          <w:rFonts w:ascii="DM Sans" w:eastAsia="DM Sans" w:hAnsi="DM Sans" w:cs="DM Sans"/>
        </w:rPr>
      </w:pPr>
      <w:r>
        <w:rPr>
          <w:rFonts w:ascii="DM Sans" w:eastAsia="DM Sans" w:hAnsi="DM Sans" w:cs="DM Sans"/>
        </w:rPr>
        <w:lastRenderedPageBreak/>
        <w:t>Download this playbook, insert your rules in the below format then upload to Jurist in the +Add files section and ask Jurist to redline an uploaded agreement based on the attached playbook. Also identify if it’s 1PP or 3PP.</w:t>
      </w:r>
    </w:p>
    <w:p w14:paraId="00000023" w14:textId="77777777" w:rsidR="002D64E1" w:rsidRDefault="002D64E1">
      <w:pPr>
        <w:pStyle w:val="Heading2"/>
        <w:keepNext w:val="0"/>
        <w:keepLines w:val="0"/>
        <w:shd w:val="clear" w:color="auto" w:fill="FFFFFF"/>
        <w:spacing w:before="0" w:after="0"/>
        <w:rPr>
          <w:rFonts w:ascii="DM Sans" w:eastAsia="DM Sans" w:hAnsi="DM Sans" w:cs="DM Sans"/>
          <w:b/>
          <w:color w:val="1A1C1E"/>
          <w:sz w:val="34"/>
          <w:szCs w:val="34"/>
        </w:rPr>
      </w:pPr>
      <w:bookmarkStart w:id="1" w:name="_heading=h.juyn6j3kubd6" w:colFirst="0" w:colLast="0"/>
      <w:bookmarkEnd w:id="1"/>
    </w:p>
    <w:p w14:paraId="00000024" w14:textId="77777777" w:rsidR="002D64E1" w:rsidRDefault="002D64E1">
      <w:pPr>
        <w:pStyle w:val="Heading2"/>
        <w:keepNext w:val="0"/>
        <w:keepLines w:val="0"/>
        <w:shd w:val="clear" w:color="auto" w:fill="FFFFFF"/>
        <w:spacing w:before="0" w:after="0"/>
        <w:rPr>
          <w:rFonts w:ascii="DM Sans" w:eastAsia="DM Sans" w:hAnsi="DM Sans" w:cs="DM Sans"/>
          <w:b/>
          <w:color w:val="1A1C1E"/>
          <w:sz w:val="34"/>
          <w:szCs w:val="34"/>
        </w:rPr>
      </w:pPr>
      <w:bookmarkStart w:id="2" w:name="_heading=h.gdfuyjojth0a" w:colFirst="0" w:colLast="0"/>
      <w:bookmarkEnd w:id="2"/>
    </w:p>
    <w:p w14:paraId="00000025" w14:textId="77777777" w:rsidR="002D64E1" w:rsidRDefault="002D64E1">
      <w:pPr>
        <w:pStyle w:val="Heading2"/>
        <w:keepNext w:val="0"/>
        <w:keepLines w:val="0"/>
        <w:shd w:val="clear" w:color="auto" w:fill="FFFFFF"/>
        <w:spacing w:before="0" w:after="0"/>
        <w:rPr>
          <w:rFonts w:ascii="DM Sans" w:eastAsia="DM Sans" w:hAnsi="DM Sans" w:cs="DM Sans"/>
          <w:b/>
          <w:color w:val="1A1C1E"/>
          <w:sz w:val="34"/>
          <w:szCs w:val="34"/>
        </w:rPr>
      </w:pPr>
    </w:p>
    <w:p w14:paraId="00000026" w14:textId="77777777" w:rsidR="002D64E1" w:rsidRDefault="00000000">
      <w:pPr>
        <w:pStyle w:val="Heading2"/>
        <w:keepNext w:val="0"/>
        <w:keepLines w:val="0"/>
        <w:shd w:val="clear" w:color="auto" w:fill="FFFFFF"/>
        <w:spacing w:before="0" w:after="0"/>
        <w:rPr>
          <w:rFonts w:ascii="DM Sans" w:eastAsia="DM Sans" w:hAnsi="DM Sans" w:cs="DM Sans"/>
          <w:b/>
          <w:color w:val="1A1C1E"/>
          <w:sz w:val="34"/>
          <w:szCs w:val="34"/>
        </w:rPr>
      </w:pPr>
      <w:r>
        <w:rPr>
          <w:rFonts w:ascii="DM Sans" w:eastAsia="DM Sans" w:hAnsi="DM Sans" w:cs="DM Sans"/>
          <w:b/>
          <w:color w:val="1A1C1E"/>
          <w:sz w:val="34"/>
          <w:szCs w:val="34"/>
        </w:rPr>
        <w:t>Playbook Context and Purpose</w:t>
      </w:r>
    </w:p>
    <w:p w14:paraId="00000027" w14:textId="77777777" w:rsidR="002D64E1" w:rsidRDefault="00000000">
      <w:pPr>
        <w:shd w:val="clear" w:color="auto" w:fill="FFFFFF"/>
        <w:spacing w:before="220" w:after="280" w:line="342" w:lineRule="auto"/>
        <w:rPr>
          <w:rFonts w:ascii="DM Sans" w:eastAsia="DM Sans" w:hAnsi="DM Sans" w:cs="DM Sans"/>
          <w:sz w:val="20"/>
          <w:szCs w:val="20"/>
        </w:rPr>
      </w:pPr>
      <w:r>
        <w:rPr>
          <w:rFonts w:ascii="DM Sans" w:eastAsia="DM Sans" w:hAnsi="DM Sans" w:cs="DM Sans"/>
          <w:b/>
          <w:color w:val="1A1C1E"/>
          <w:sz w:val="21"/>
          <w:szCs w:val="21"/>
        </w:rPr>
        <w:t>Playbook ID</w:t>
      </w:r>
      <w:proofErr w:type="gramStart"/>
      <w:r>
        <w:rPr>
          <w:rFonts w:ascii="DM Sans" w:eastAsia="DM Sans" w:hAnsi="DM Sans" w:cs="DM Sans"/>
          <w:b/>
          <w:color w:val="1A1C1E"/>
          <w:sz w:val="21"/>
          <w:szCs w:val="21"/>
        </w:rPr>
        <w:t>:</w:t>
      </w:r>
      <w:r>
        <w:rPr>
          <w:rFonts w:ascii="DM Sans" w:eastAsia="DM Sans" w:hAnsi="DM Sans" w:cs="DM Sans"/>
          <w:color w:val="1A1C1E"/>
          <w:sz w:val="21"/>
          <w:szCs w:val="21"/>
        </w:rPr>
        <w:t xml:space="preserve">  </w:t>
      </w:r>
      <w:r>
        <w:rPr>
          <w:rFonts w:ascii="DM Sans" w:eastAsia="DM Sans" w:hAnsi="DM Sans" w:cs="DM Sans"/>
          <w:color w:val="1A1C1E"/>
          <w:sz w:val="21"/>
          <w:szCs w:val="21"/>
          <w:highlight w:val="white"/>
        </w:rPr>
        <w:t>[</w:t>
      </w:r>
      <w:proofErr w:type="gramEnd"/>
      <w:r>
        <w:rPr>
          <w:rFonts w:ascii="DM Sans" w:eastAsia="DM Sans" w:hAnsi="DM Sans" w:cs="DM Sans"/>
          <w:color w:val="1A1C1E"/>
          <w:sz w:val="21"/>
          <w:szCs w:val="21"/>
          <w:highlight w:val="white"/>
        </w:rPr>
        <w:t>Unique ID]</w:t>
      </w:r>
      <w:r>
        <w:rPr>
          <w:rFonts w:ascii="DM Sans" w:eastAsia="DM Sans" w:hAnsi="DM Sans" w:cs="DM Sans"/>
          <w:color w:val="1A1C1E"/>
          <w:sz w:val="20"/>
          <w:szCs w:val="20"/>
        </w:rPr>
        <w:br/>
      </w:r>
      <w:r>
        <w:rPr>
          <w:rFonts w:ascii="DM Sans" w:eastAsia="DM Sans" w:hAnsi="DM Sans" w:cs="DM Sans"/>
          <w:b/>
          <w:color w:val="1A1C1E"/>
          <w:sz w:val="21"/>
          <w:szCs w:val="21"/>
        </w:rPr>
        <w:t>Owner:</w:t>
      </w:r>
      <w:r>
        <w:rPr>
          <w:rFonts w:ascii="DM Sans" w:eastAsia="DM Sans" w:hAnsi="DM Sans" w:cs="DM Sans"/>
          <w:color w:val="1A1C1E"/>
          <w:sz w:val="21"/>
          <w:szCs w:val="21"/>
        </w:rPr>
        <w:t xml:space="preserve"> </w:t>
      </w:r>
      <w:r>
        <w:rPr>
          <w:rFonts w:ascii="DM Sans" w:eastAsia="DM Sans" w:hAnsi="DM Sans" w:cs="DM Sans"/>
          <w:color w:val="1A1C1E"/>
          <w:sz w:val="21"/>
          <w:szCs w:val="21"/>
          <w:highlight w:val="white"/>
        </w:rPr>
        <w:t>[e.g., Legal Department]</w:t>
      </w:r>
      <w:r>
        <w:rPr>
          <w:rFonts w:ascii="DM Sans" w:eastAsia="DM Sans" w:hAnsi="DM Sans" w:cs="DM Sans"/>
          <w:sz w:val="20"/>
          <w:szCs w:val="20"/>
        </w:rPr>
        <w:br/>
      </w:r>
      <w:r>
        <w:rPr>
          <w:rFonts w:ascii="DM Sans" w:eastAsia="DM Sans" w:hAnsi="DM Sans" w:cs="DM Sans"/>
          <w:b/>
          <w:sz w:val="21"/>
          <w:szCs w:val="21"/>
        </w:rPr>
        <w:t>Last Updated:</w:t>
      </w:r>
      <w:r>
        <w:rPr>
          <w:rFonts w:ascii="DM Sans" w:eastAsia="DM Sans" w:hAnsi="DM Sans" w:cs="DM Sans"/>
          <w:sz w:val="21"/>
          <w:szCs w:val="21"/>
        </w:rPr>
        <w:t xml:space="preserve"> </w:t>
      </w:r>
      <w:r>
        <w:rPr>
          <w:rFonts w:ascii="DM Sans" w:eastAsia="DM Sans" w:hAnsi="DM Sans" w:cs="DM Sans"/>
          <w:color w:val="1A1C1E"/>
          <w:sz w:val="21"/>
          <w:szCs w:val="21"/>
          <w:highlight w:val="white"/>
        </w:rPr>
        <w:t>[Date]</w:t>
      </w:r>
    </w:p>
    <w:p w14:paraId="00000028" w14:textId="77777777" w:rsidR="002D64E1" w:rsidRDefault="00000000">
      <w:pPr>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Purpose:</w:t>
      </w:r>
      <w:r>
        <w:rPr>
          <w:rFonts w:ascii="DM Sans" w:eastAsia="DM Sans" w:hAnsi="DM Sans" w:cs="DM Sans"/>
          <w:color w:val="1A1C1E"/>
          <w:sz w:val="21"/>
          <w:szCs w:val="21"/>
          <w:highlight w:val="white"/>
        </w:rPr>
        <w:t xml:space="preserve"> This playbook provides a structured set of rules, positions, and fallback options for negotiating our standard [Agreement Name, e.g., Master Services Agreement]. The primary goal is to standardize our contracting process, protect the company's interests, and empower the sales team to negotiate effectively and efficiently. This document is intentionally formatted for automated extraction by Large Language Models (LLMs) to support contract analysis and generation tools. All sections and labels are consistent to ensure accurate parsing.</w:t>
      </w:r>
    </w:p>
    <w:p w14:paraId="00000029" w14:textId="77777777" w:rsidR="002D64E1" w:rsidRDefault="00000000">
      <w:pPr>
        <w:pStyle w:val="Heading2"/>
        <w:keepNext w:val="0"/>
        <w:keepLines w:val="0"/>
        <w:shd w:val="clear" w:color="auto" w:fill="FFFFFF"/>
        <w:spacing w:before="0" w:after="0"/>
        <w:rPr>
          <w:rFonts w:ascii="DM Sans" w:eastAsia="DM Sans" w:hAnsi="DM Sans" w:cs="DM Sans"/>
          <w:b/>
          <w:color w:val="1A1C1E"/>
          <w:sz w:val="34"/>
          <w:szCs w:val="34"/>
          <w:highlight w:val="white"/>
        </w:rPr>
      </w:pPr>
      <w:bookmarkStart w:id="3" w:name="_heading=h.8s9fgssm6wpg" w:colFirst="0" w:colLast="0"/>
      <w:bookmarkEnd w:id="3"/>
      <w:r>
        <w:rPr>
          <w:rFonts w:ascii="DM Sans" w:eastAsia="DM Sans" w:hAnsi="DM Sans" w:cs="DM Sans"/>
          <w:b/>
          <w:color w:val="1A1C1E"/>
          <w:sz w:val="34"/>
          <w:szCs w:val="34"/>
          <w:highlight w:val="white"/>
        </w:rPr>
        <w:t>Agreement Type</w:t>
      </w:r>
    </w:p>
    <w:p w14:paraId="0000002A" w14:textId="77777777" w:rsidR="002D64E1" w:rsidRDefault="00000000">
      <w:pPr>
        <w:shd w:val="clear" w:color="auto" w:fill="FFFFFF"/>
        <w:spacing w:before="220" w:after="280" w:line="342" w:lineRule="auto"/>
        <w:rPr>
          <w:rFonts w:ascii="DM Sans" w:eastAsia="DM Sans" w:hAnsi="DM Sans" w:cs="DM Sans"/>
          <w:color w:val="1A1C1E"/>
          <w:sz w:val="20"/>
          <w:szCs w:val="20"/>
          <w:highlight w:val="white"/>
        </w:rPr>
      </w:pPr>
      <w:r>
        <w:rPr>
          <w:rFonts w:ascii="DM Sans" w:eastAsia="DM Sans" w:hAnsi="DM Sans" w:cs="DM Sans"/>
          <w:b/>
          <w:color w:val="1A1C1E"/>
          <w:sz w:val="21"/>
          <w:szCs w:val="21"/>
          <w:highlight w:val="white"/>
        </w:rPr>
        <w:t>Agreement Name:</w:t>
      </w:r>
      <w:r>
        <w:rPr>
          <w:rFonts w:ascii="DM Sans" w:eastAsia="DM Sans" w:hAnsi="DM Sans" w:cs="DM Sans"/>
          <w:color w:val="1A1C1E"/>
          <w:sz w:val="21"/>
          <w:szCs w:val="21"/>
          <w:highlight w:val="white"/>
        </w:rPr>
        <w:t xml:space="preserve"> [Master Services Agreement]</w:t>
      </w:r>
      <w:r>
        <w:rPr>
          <w:rFonts w:ascii="DM Sans" w:eastAsia="DM Sans" w:hAnsi="DM Sans" w:cs="DM Sans"/>
          <w:color w:val="1A1C1E"/>
          <w:sz w:val="20"/>
          <w:szCs w:val="20"/>
          <w:highlight w:val="white"/>
        </w:rPr>
        <w:br/>
      </w:r>
      <w:r>
        <w:rPr>
          <w:rFonts w:ascii="DM Sans" w:eastAsia="DM Sans" w:hAnsi="DM Sans" w:cs="DM Sans"/>
          <w:b/>
          <w:color w:val="1A1C1E"/>
          <w:sz w:val="21"/>
          <w:szCs w:val="21"/>
          <w:highlight w:val="white"/>
        </w:rPr>
        <w:t>Applicable Product/Service:</w:t>
      </w:r>
      <w:r>
        <w:rPr>
          <w:rFonts w:ascii="DM Sans" w:eastAsia="DM Sans" w:hAnsi="DM Sans" w:cs="DM Sans"/>
          <w:color w:val="1A1C1E"/>
          <w:sz w:val="21"/>
          <w:szCs w:val="21"/>
          <w:highlight w:val="white"/>
        </w:rPr>
        <w:t xml:space="preserve"> [Product/Service Name, e.g., "</w:t>
      </w:r>
      <w:proofErr w:type="spellStart"/>
      <w:r>
        <w:rPr>
          <w:rFonts w:ascii="DM Sans" w:eastAsia="DM Sans" w:hAnsi="DM Sans" w:cs="DM Sans"/>
          <w:color w:val="1A1C1E"/>
          <w:sz w:val="21"/>
          <w:szCs w:val="21"/>
          <w:highlight w:val="white"/>
        </w:rPr>
        <w:t>QuantumLeap</w:t>
      </w:r>
      <w:proofErr w:type="spellEnd"/>
      <w:r>
        <w:rPr>
          <w:rFonts w:ascii="DM Sans" w:eastAsia="DM Sans" w:hAnsi="DM Sans" w:cs="DM Sans"/>
          <w:color w:val="1A1C1E"/>
          <w:sz w:val="21"/>
          <w:szCs w:val="21"/>
          <w:highlight w:val="white"/>
        </w:rPr>
        <w:t xml:space="preserve"> AI Platform"]</w:t>
      </w:r>
    </w:p>
    <w:p w14:paraId="0000002B" w14:textId="77777777" w:rsidR="002D64E1" w:rsidRDefault="00000000">
      <w:pPr>
        <w:pStyle w:val="Heading2"/>
        <w:keepNext w:val="0"/>
        <w:keepLines w:val="0"/>
        <w:shd w:val="clear" w:color="auto" w:fill="FFFFFF"/>
        <w:spacing w:before="0" w:after="0"/>
        <w:rPr>
          <w:rFonts w:ascii="DM Sans" w:eastAsia="DM Sans" w:hAnsi="DM Sans" w:cs="DM Sans"/>
          <w:b/>
          <w:color w:val="1A1C1E"/>
          <w:sz w:val="34"/>
          <w:szCs w:val="34"/>
          <w:highlight w:val="white"/>
        </w:rPr>
      </w:pPr>
      <w:bookmarkStart w:id="4" w:name="_heading=h.xzpuf4awhpxv" w:colFirst="0" w:colLast="0"/>
      <w:bookmarkEnd w:id="4"/>
      <w:r>
        <w:rPr>
          <w:rFonts w:ascii="DM Sans" w:eastAsia="DM Sans" w:hAnsi="DM Sans" w:cs="DM Sans"/>
          <w:b/>
          <w:color w:val="1A1C1E"/>
          <w:sz w:val="34"/>
          <w:szCs w:val="34"/>
          <w:highlight w:val="white"/>
        </w:rPr>
        <w:t>Company Information</w:t>
      </w:r>
    </w:p>
    <w:p w14:paraId="0000002C" w14:textId="77777777" w:rsidR="002D64E1" w:rsidRDefault="00000000">
      <w:pPr>
        <w:shd w:val="clear" w:color="auto" w:fill="FFFFFF"/>
        <w:spacing w:after="0" w:line="342" w:lineRule="auto"/>
        <w:rPr>
          <w:rFonts w:ascii="DM Sans" w:eastAsia="DM Sans" w:hAnsi="DM Sans" w:cs="DM Sans"/>
          <w:color w:val="1A1C1E"/>
          <w:sz w:val="20"/>
          <w:szCs w:val="20"/>
          <w:highlight w:val="white"/>
        </w:rPr>
      </w:pPr>
      <w:bookmarkStart w:id="5" w:name="_heading=h.ywiyxr2l377y" w:colFirst="0" w:colLast="0"/>
      <w:bookmarkEnd w:id="5"/>
      <w:r>
        <w:rPr>
          <w:rFonts w:ascii="DM Sans" w:eastAsia="DM Sans" w:hAnsi="DM Sans" w:cs="DM Sans"/>
          <w:b/>
          <w:color w:val="1A1C1E"/>
          <w:sz w:val="21"/>
          <w:szCs w:val="21"/>
          <w:highlight w:val="white"/>
        </w:rPr>
        <w:t>Company Name:</w:t>
      </w:r>
      <w:r>
        <w:rPr>
          <w:rFonts w:ascii="DM Sans" w:eastAsia="DM Sans" w:hAnsi="DM Sans" w:cs="DM Sans"/>
          <w:color w:val="1A1C1E"/>
          <w:sz w:val="21"/>
          <w:szCs w:val="21"/>
          <w:highlight w:val="white"/>
        </w:rPr>
        <w:t xml:space="preserve"> [Your Company Name, Inc.]</w:t>
      </w:r>
      <w:r>
        <w:rPr>
          <w:rFonts w:ascii="DM Sans" w:eastAsia="DM Sans" w:hAnsi="DM Sans" w:cs="DM Sans"/>
          <w:color w:val="1A1C1E"/>
          <w:sz w:val="20"/>
          <w:szCs w:val="20"/>
          <w:highlight w:val="white"/>
        </w:rPr>
        <w:br/>
      </w:r>
      <w:r>
        <w:rPr>
          <w:rFonts w:ascii="DM Sans" w:eastAsia="DM Sans" w:hAnsi="DM Sans" w:cs="DM Sans"/>
          <w:b/>
          <w:color w:val="1A1C1E"/>
          <w:sz w:val="21"/>
          <w:szCs w:val="21"/>
          <w:highlight w:val="white"/>
        </w:rPr>
        <w:t>Company Legal Entity:</w:t>
      </w:r>
      <w:r>
        <w:rPr>
          <w:rFonts w:ascii="DM Sans" w:eastAsia="DM Sans" w:hAnsi="DM Sans" w:cs="DM Sans"/>
          <w:color w:val="1A1C1E"/>
          <w:sz w:val="21"/>
          <w:szCs w:val="21"/>
          <w:highlight w:val="white"/>
        </w:rPr>
        <w:t xml:space="preserve"> [e.g., A Delaware Corporation]</w:t>
      </w:r>
    </w:p>
    <w:p w14:paraId="0000002D" w14:textId="77777777" w:rsidR="002D64E1" w:rsidRDefault="00000000">
      <w:pPr>
        <w:pStyle w:val="Heading3"/>
        <w:keepNext w:val="0"/>
        <w:keepLines w:val="0"/>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 xml:space="preserve">1. Rule Name: </w:t>
      </w:r>
      <w:r>
        <w:rPr>
          <w:rFonts w:ascii="DM Sans" w:eastAsia="DM Sans" w:hAnsi="DM Sans" w:cs="DM Sans"/>
          <w:color w:val="1A1C1E"/>
          <w:sz w:val="21"/>
          <w:szCs w:val="21"/>
          <w:highlight w:val="white"/>
        </w:rPr>
        <w:t>Limitation of Liability (</w:t>
      </w:r>
      <w:proofErr w:type="spellStart"/>
      <w:r>
        <w:rPr>
          <w:rFonts w:ascii="DM Sans" w:eastAsia="DM Sans" w:hAnsi="DM Sans" w:cs="DM Sans"/>
          <w:color w:val="1A1C1E"/>
          <w:sz w:val="21"/>
          <w:szCs w:val="21"/>
          <w:highlight w:val="white"/>
        </w:rPr>
        <w:t>LoL</w:t>
      </w:r>
      <w:proofErr w:type="spellEnd"/>
      <w:r>
        <w:rPr>
          <w:rFonts w:ascii="DM Sans" w:eastAsia="DM Sans" w:hAnsi="DM Sans" w:cs="DM Sans"/>
          <w:color w:val="1A1C1E"/>
          <w:sz w:val="21"/>
          <w:szCs w:val="21"/>
          <w:highlight w:val="white"/>
        </w:rPr>
        <w:t>)</w:t>
      </w:r>
    </w:p>
    <w:p w14:paraId="0000002E" w14:textId="77777777" w:rsidR="002D64E1" w:rsidRDefault="00000000">
      <w:pPr>
        <w:pStyle w:val="Heading3"/>
        <w:keepNext w:val="0"/>
        <w:keepLines w:val="0"/>
        <w:numPr>
          <w:ilvl w:val="0"/>
          <w:numId w:val="3"/>
        </w:numPr>
        <w:shd w:val="clear" w:color="auto" w:fill="FFFFFF"/>
        <w:spacing w:before="0" w:after="0"/>
        <w:rPr>
          <w:rFonts w:ascii="DM Sans" w:eastAsia="DM Sans" w:hAnsi="DM Sans" w:cs="DM Sans"/>
          <w:color w:val="1A1C1E"/>
          <w:sz w:val="21"/>
          <w:szCs w:val="21"/>
          <w:highlight w:val="white"/>
        </w:rPr>
      </w:pPr>
      <w:bookmarkStart w:id="6" w:name="_heading=h.noadwsltfz5z" w:colFirst="0" w:colLast="0"/>
      <w:bookmarkEnd w:id="6"/>
      <w:r>
        <w:rPr>
          <w:rFonts w:ascii="DM Sans" w:eastAsia="DM Sans" w:hAnsi="DM Sans" w:cs="DM Sans"/>
          <w:b/>
          <w:color w:val="1A1C1E"/>
          <w:sz w:val="21"/>
          <w:szCs w:val="21"/>
          <w:highlight w:val="white"/>
        </w:rPr>
        <w:t xml:space="preserve">Rule Guidance and Context: </w:t>
      </w:r>
    </w:p>
    <w:p w14:paraId="0000002F" w14:textId="77777777" w:rsidR="002D64E1" w:rsidRDefault="00000000">
      <w:pPr>
        <w:pStyle w:val="Heading3"/>
        <w:keepNext w:val="0"/>
        <w:keepLines w:val="0"/>
        <w:numPr>
          <w:ilvl w:val="1"/>
          <w:numId w:val="3"/>
        </w:numPr>
        <w:shd w:val="clear" w:color="auto" w:fill="FFFFFF"/>
        <w:rPr>
          <w:rFonts w:ascii="DM Sans" w:eastAsia="DM Sans" w:hAnsi="DM Sans" w:cs="DM Sans"/>
          <w:b/>
          <w:color w:val="1A1C1E"/>
          <w:sz w:val="21"/>
          <w:szCs w:val="21"/>
          <w:highlight w:val="white"/>
        </w:rPr>
      </w:pPr>
      <w:r>
        <w:rPr>
          <w:rFonts w:ascii="DM Sans" w:eastAsia="DM Sans" w:hAnsi="DM Sans" w:cs="DM Sans"/>
          <w:b/>
          <w:color w:val="1A1C1E"/>
          <w:sz w:val="21"/>
          <w:szCs w:val="21"/>
          <w:highlight w:val="white"/>
        </w:rPr>
        <w:t>Rule:</w:t>
      </w:r>
      <w:r>
        <w:rPr>
          <w:rFonts w:ascii="DM Sans" w:eastAsia="DM Sans" w:hAnsi="DM Sans" w:cs="DM Sans"/>
          <w:color w:val="1A1C1E"/>
          <w:sz w:val="21"/>
          <w:szCs w:val="21"/>
          <w:highlight w:val="white"/>
        </w:rPr>
        <w:t xml:space="preserve"> A short, plain-language statement of the contract requirement you expect. It should clearly define what must (or must not) appear in the agreement. Think of it as the “contract test” you’d want Jurist to automatically check for:</w:t>
      </w:r>
    </w:p>
    <w:p w14:paraId="00000030" w14:textId="77777777" w:rsidR="002D64E1" w:rsidRDefault="00000000">
      <w:pPr>
        <w:numPr>
          <w:ilvl w:val="3"/>
          <w:numId w:val="3"/>
        </w:numPr>
        <w:pBdr>
          <w:top w:val="nil"/>
          <w:left w:val="nil"/>
          <w:bottom w:val="nil"/>
          <w:right w:val="nil"/>
          <w:between w:val="nil"/>
        </w:pBdr>
        <w:spacing w:before="160" w:after="80" w:line="240" w:lineRule="auto"/>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If the clause meets this condition → it’s acceptable.</w:t>
      </w:r>
    </w:p>
    <w:p w14:paraId="00000031" w14:textId="77777777" w:rsidR="002D64E1" w:rsidRDefault="00000000">
      <w:pPr>
        <w:numPr>
          <w:ilvl w:val="3"/>
          <w:numId w:val="3"/>
        </w:numPr>
        <w:pBdr>
          <w:top w:val="nil"/>
          <w:left w:val="nil"/>
          <w:bottom w:val="nil"/>
          <w:right w:val="nil"/>
          <w:between w:val="nil"/>
        </w:pBdr>
        <w:spacing w:before="160" w:after="80" w:line="240" w:lineRule="auto"/>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If it doesn’t → Jurist should suggest a redline.</w:t>
      </w:r>
    </w:p>
    <w:p w14:paraId="00000032" w14:textId="77777777" w:rsidR="002D64E1" w:rsidRDefault="00000000">
      <w:pPr>
        <w:numPr>
          <w:ilvl w:val="2"/>
          <w:numId w:val="3"/>
        </w:numPr>
        <w:pBdr>
          <w:top w:val="nil"/>
          <w:left w:val="nil"/>
          <w:bottom w:val="nil"/>
          <w:right w:val="nil"/>
          <w:between w:val="nil"/>
        </w:pBdr>
        <w:spacing w:before="160" w:after="80" w:line="240" w:lineRule="auto"/>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lastRenderedPageBreak/>
        <w:t>Example:</w:t>
      </w:r>
      <w:r>
        <w:rPr>
          <w:rFonts w:ascii="DM Sans" w:eastAsia="DM Sans" w:hAnsi="DM Sans" w:cs="DM Sans"/>
          <w:color w:val="1A1C1E"/>
          <w:sz w:val="21"/>
          <w:szCs w:val="21"/>
          <w:highlight w:val="white"/>
        </w:rPr>
        <w:t xml:space="preserve"> The goal is to cap our total potential liability to a predictable and insurable amount. We must avoid exposure to uncapped, consequential, or speculative damages, which could be catastrophic for the business. Our default position ties liability directly to the revenue generated by the customer.</w:t>
      </w:r>
    </w:p>
    <w:p w14:paraId="00000033" w14:textId="77777777" w:rsidR="002D64E1" w:rsidRDefault="00000000">
      <w:pPr>
        <w:numPr>
          <w:ilvl w:val="1"/>
          <w:numId w:val="3"/>
        </w:numPr>
        <w:pBdr>
          <w:top w:val="nil"/>
          <w:left w:val="nil"/>
          <w:bottom w:val="nil"/>
          <w:right w:val="nil"/>
          <w:between w:val="nil"/>
        </w:pBdr>
        <w:spacing w:before="160" w:after="80" w:line="240" w:lineRule="auto"/>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Target:</w:t>
      </w:r>
      <w:r>
        <w:rPr>
          <w:rFonts w:ascii="DM Sans" w:eastAsia="DM Sans" w:hAnsi="DM Sans" w:cs="DM Sans"/>
          <w:color w:val="1A1C1E"/>
          <w:sz w:val="21"/>
          <w:szCs w:val="21"/>
          <w:highlight w:val="white"/>
        </w:rPr>
        <w:t xml:space="preserve"> Where in the contract this rule usually shows up (e.g., Purpose clause, Confidentiality section). This helps Jurist (and reviewers) know where to look.</w:t>
      </w:r>
    </w:p>
    <w:p w14:paraId="00000034" w14:textId="77777777" w:rsidR="002D64E1" w:rsidRDefault="00000000">
      <w:pPr>
        <w:numPr>
          <w:ilvl w:val="2"/>
          <w:numId w:val="3"/>
        </w:numPr>
        <w:pBdr>
          <w:top w:val="nil"/>
          <w:left w:val="nil"/>
          <w:bottom w:val="nil"/>
          <w:right w:val="nil"/>
          <w:between w:val="nil"/>
        </w:pBdr>
        <w:spacing w:before="160"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Example:</w:t>
      </w:r>
      <w:r>
        <w:rPr>
          <w:rFonts w:ascii="DM Sans" w:eastAsia="DM Sans" w:hAnsi="DM Sans" w:cs="DM Sans"/>
          <w:color w:val="1A1C1E"/>
          <w:sz w:val="21"/>
          <w:szCs w:val="21"/>
          <w:highlight w:val="white"/>
        </w:rPr>
        <w:t xml:space="preserve"> Usually found in a clause titled “Limitation of Liability,” often near indemnification and damages provisions.</w:t>
      </w:r>
    </w:p>
    <w:p w14:paraId="00000035" w14:textId="77777777" w:rsidR="002D64E1" w:rsidRDefault="002D64E1">
      <w:pPr>
        <w:pBdr>
          <w:top w:val="nil"/>
          <w:left w:val="nil"/>
          <w:bottom w:val="nil"/>
          <w:right w:val="nil"/>
          <w:between w:val="nil"/>
        </w:pBdr>
        <w:spacing w:after="0"/>
        <w:ind w:left="1440"/>
        <w:rPr>
          <w:rFonts w:ascii="DM Sans" w:eastAsia="DM Sans" w:hAnsi="DM Sans" w:cs="DM Sans"/>
          <w:color w:val="000000"/>
          <w:sz w:val="21"/>
          <w:szCs w:val="21"/>
          <w:highlight w:val="white"/>
        </w:rPr>
      </w:pPr>
    </w:p>
    <w:p w14:paraId="00000036" w14:textId="77777777" w:rsidR="002D64E1" w:rsidRDefault="00000000">
      <w:pPr>
        <w:numPr>
          <w:ilvl w:val="1"/>
          <w:numId w:val="3"/>
        </w:numPr>
        <w:pBdr>
          <w:top w:val="nil"/>
          <w:left w:val="nil"/>
          <w:bottom w:val="nil"/>
          <w:right w:val="nil"/>
          <w:between w:val="nil"/>
        </w:pBdr>
        <w:spacing w:after="0"/>
        <w:rPr>
          <w:rFonts w:ascii="DM Sans" w:eastAsia="DM Sans" w:hAnsi="DM Sans" w:cs="DM Sans"/>
          <w:color w:val="000000"/>
          <w:sz w:val="21"/>
          <w:szCs w:val="21"/>
          <w:highlight w:val="white"/>
        </w:rPr>
      </w:pPr>
      <w:bookmarkStart w:id="7" w:name="_heading=h.viq5bvk8px59" w:colFirst="0" w:colLast="0"/>
      <w:bookmarkEnd w:id="7"/>
      <w:r>
        <w:rPr>
          <w:rFonts w:ascii="DM Sans" w:eastAsia="DM Sans" w:hAnsi="DM Sans" w:cs="DM Sans"/>
          <w:b/>
          <w:color w:val="000000"/>
          <w:sz w:val="21"/>
          <w:szCs w:val="21"/>
          <w:highlight w:val="white"/>
        </w:rPr>
        <w:t>Negotiation Position</w:t>
      </w:r>
      <w:r>
        <w:rPr>
          <w:rFonts w:ascii="DM Sans" w:eastAsia="DM Sans" w:hAnsi="DM Sans" w:cs="DM Sans"/>
          <w:b/>
          <w:color w:val="000000"/>
          <w:sz w:val="21"/>
          <w:szCs w:val="21"/>
        </w:rPr>
        <w:t>:</w:t>
      </w:r>
      <w:r>
        <w:rPr>
          <w:rFonts w:ascii="DM Sans" w:eastAsia="DM Sans" w:hAnsi="DM Sans" w:cs="DM Sans"/>
          <w:color w:val="000000"/>
          <w:sz w:val="21"/>
          <w:szCs w:val="21"/>
        </w:rPr>
        <w:t xml:space="preserve"> Defines whether the clause is non-negotiable, strongly preferred, or flexible. This guides how strict Jurist should be when redlining.</w:t>
      </w:r>
    </w:p>
    <w:p w14:paraId="00000037" w14:textId="77777777" w:rsidR="002D64E1" w:rsidRDefault="002D64E1">
      <w:pPr>
        <w:pBdr>
          <w:top w:val="nil"/>
          <w:left w:val="nil"/>
          <w:bottom w:val="nil"/>
          <w:right w:val="nil"/>
          <w:between w:val="nil"/>
        </w:pBdr>
        <w:spacing w:after="0"/>
        <w:ind w:left="2160"/>
        <w:rPr>
          <w:rFonts w:ascii="DM Sans" w:eastAsia="DM Sans" w:hAnsi="DM Sans" w:cs="DM Sans"/>
          <w:color w:val="000000"/>
          <w:sz w:val="21"/>
          <w:szCs w:val="21"/>
          <w:highlight w:val="white"/>
        </w:rPr>
      </w:pPr>
    </w:p>
    <w:p w14:paraId="00000038" w14:textId="77777777" w:rsidR="002D64E1" w:rsidRDefault="00000000">
      <w:pPr>
        <w:numPr>
          <w:ilvl w:val="2"/>
          <w:numId w:val="3"/>
        </w:numPr>
        <w:pBdr>
          <w:top w:val="nil"/>
          <w:left w:val="nil"/>
          <w:bottom w:val="nil"/>
          <w:right w:val="nil"/>
          <w:between w:val="nil"/>
        </w:pBdr>
        <w:spacing w:after="0"/>
        <w:rPr>
          <w:rFonts w:ascii="DM Sans" w:eastAsia="DM Sans" w:hAnsi="DM Sans" w:cs="DM Sans"/>
          <w:color w:val="000000"/>
          <w:sz w:val="21"/>
          <w:szCs w:val="21"/>
          <w:highlight w:val="white"/>
        </w:rPr>
      </w:pPr>
      <w:r>
        <w:rPr>
          <w:rFonts w:ascii="DM Sans" w:eastAsia="DM Sans" w:hAnsi="DM Sans" w:cs="DM Sans"/>
          <w:b/>
          <w:color w:val="000000"/>
          <w:sz w:val="21"/>
          <w:szCs w:val="21"/>
          <w:highlight w:val="white"/>
        </w:rPr>
        <w:t>Example:</w:t>
      </w:r>
      <w:r>
        <w:rPr>
          <w:rFonts w:ascii="DM Sans" w:eastAsia="DM Sans" w:hAnsi="DM Sans" w:cs="DM Sans"/>
          <w:color w:val="000000"/>
          <w:sz w:val="21"/>
          <w:szCs w:val="21"/>
          <w:highlight w:val="white"/>
        </w:rPr>
        <w:t xml:space="preserve"> </w:t>
      </w:r>
      <w:r>
        <w:rPr>
          <w:rFonts w:ascii="DM Sans" w:eastAsia="DM Sans" w:hAnsi="DM Sans" w:cs="DM Sans"/>
          <w:color w:val="000000"/>
          <w:sz w:val="21"/>
          <w:szCs w:val="21"/>
        </w:rPr>
        <w:t>We will accept liability caps equal to 12 months of fees paid. We will not agree to unlimited liability, but we will allow carve-outs for IP, confidentiality, and gross negligence.</w:t>
      </w:r>
    </w:p>
    <w:p w14:paraId="00000039" w14:textId="77777777" w:rsidR="002D64E1" w:rsidRDefault="002D64E1">
      <w:pPr>
        <w:pBdr>
          <w:top w:val="nil"/>
          <w:left w:val="nil"/>
          <w:bottom w:val="nil"/>
          <w:right w:val="nil"/>
          <w:between w:val="nil"/>
        </w:pBdr>
        <w:spacing w:after="0"/>
        <w:ind w:left="1440"/>
        <w:rPr>
          <w:rFonts w:ascii="DM Sans" w:eastAsia="DM Sans" w:hAnsi="DM Sans" w:cs="DM Sans"/>
          <w:b/>
          <w:color w:val="000000"/>
          <w:sz w:val="21"/>
          <w:szCs w:val="21"/>
          <w:highlight w:val="white"/>
        </w:rPr>
      </w:pPr>
    </w:p>
    <w:p w14:paraId="0000003A" w14:textId="77777777" w:rsidR="002D64E1" w:rsidRDefault="00000000">
      <w:pPr>
        <w:numPr>
          <w:ilvl w:val="1"/>
          <w:numId w:val="3"/>
        </w:numPr>
        <w:pBdr>
          <w:top w:val="nil"/>
          <w:left w:val="nil"/>
          <w:bottom w:val="nil"/>
          <w:right w:val="nil"/>
          <w:between w:val="nil"/>
        </w:pBdr>
        <w:rPr>
          <w:rFonts w:ascii="DM Sans" w:eastAsia="DM Sans" w:hAnsi="DM Sans" w:cs="DM Sans"/>
          <w:b/>
          <w:color w:val="000000"/>
          <w:sz w:val="21"/>
          <w:szCs w:val="21"/>
          <w:highlight w:val="white"/>
        </w:rPr>
      </w:pPr>
      <w:r>
        <w:rPr>
          <w:rFonts w:ascii="DM Sans" w:eastAsia="DM Sans" w:hAnsi="DM Sans" w:cs="DM Sans"/>
          <w:b/>
          <w:color w:val="000000"/>
          <w:sz w:val="21"/>
          <w:szCs w:val="21"/>
        </w:rPr>
        <w:t xml:space="preserve">What does good look like: </w:t>
      </w:r>
      <w:r>
        <w:rPr>
          <w:rFonts w:ascii="DM Sans" w:eastAsia="DM Sans" w:hAnsi="DM Sans" w:cs="DM Sans"/>
          <w:color w:val="000000"/>
          <w:sz w:val="21"/>
          <w:szCs w:val="21"/>
        </w:rPr>
        <w:t xml:space="preserve">This is the gold standard attributes of an acceptable clause. It gives AI success criteria to measure against. </w:t>
      </w:r>
    </w:p>
    <w:p w14:paraId="0000003B" w14:textId="77777777" w:rsidR="002D64E1" w:rsidRDefault="00000000">
      <w:pPr>
        <w:numPr>
          <w:ilvl w:val="2"/>
          <w:numId w:val="3"/>
        </w:numPr>
        <w:pBdr>
          <w:top w:val="nil"/>
          <w:left w:val="nil"/>
          <w:bottom w:val="nil"/>
          <w:right w:val="nil"/>
          <w:between w:val="nil"/>
        </w:pBdr>
        <w:spacing w:before="160" w:after="80"/>
        <w:rPr>
          <w:rFonts w:ascii="DM Sans" w:eastAsia="DM Sans" w:hAnsi="DM Sans" w:cs="DM Sans"/>
          <w:b/>
          <w:color w:val="000000"/>
          <w:sz w:val="21"/>
          <w:szCs w:val="21"/>
          <w:highlight w:val="white"/>
        </w:rPr>
      </w:pPr>
      <w:r>
        <w:rPr>
          <w:rFonts w:ascii="DM Sans" w:eastAsia="DM Sans" w:hAnsi="DM Sans" w:cs="DM Sans"/>
          <w:b/>
          <w:color w:val="000000"/>
          <w:sz w:val="21"/>
          <w:szCs w:val="21"/>
        </w:rPr>
        <w:t>Example:</w:t>
      </w:r>
      <w:r>
        <w:rPr>
          <w:rFonts w:ascii="DM Sans" w:eastAsia="DM Sans" w:hAnsi="DM Sans" w:cs="DM Sans"/>
          <w:b/>
          <w:color w:val="000000"/>
          <w:sz w:val="21"/>
          <w:szCs w:val="21"/>
          <w:highlight w:val="white"/>
        </w:rPr>
        <w:t xml:space="preserve"> </w:t>
      </w:r>
      <w:r>
        <w:rPr>
          <w:rFonts w:ascii="DM Sans" w:eastAsia="DM Sans" w:hAnsi="DM Sans" w:cs="DM Sans"/>
          <w:color w:val="000000"/>
          <w:sz w:val="21"/>
          <w:szCs w:val="21"/>
        </w:rPr>
        <w:t>A clause that clearly states (1) liability is capped, (2) the cap is tied to fees paid, and (3) excludes unlimited liability except for standard carve-outs (e.g., fraud, IP infringement, confidentiality breaches).</w:t>
      </w:r>
    </w:p>
    <w:p w14:paraId="0000003C" w14:textId="77777777" w:rsidR="002D64E1" w:rsidRDefault="002D64E1">
      <w:pPr>
        <w:pBdr>
          <w:top w:val="nil"/>
          <w:left w:val="nil"/>
          <w:bottom w:val="nil"/>
          <w:right w:val="nil"/>
          <w:between w:val="nil"/>
        </w:pBdr>
        <w:spacing w:before="80" w:after="0"/>
        <w:ind w:left="2160"/>
        <w:rPr>
          <w:rFonts w:ascii="DM Sans" w:eastAsia="DM Sans" w:hAnsi="DM Sans" w:cs="DM Sans"/>
          <w:b/>
          <w:color w:val="000000"/>
          <w:sz w:val="21"/>
          <w:szCs w:val="21"/>
          <w:highlight w:val="white"/>
        </w:rPr>
      </w:pPr>
    </w:p>
    <w:p w14:paraId="0000003D" w14:textId="77777777" w:rsidR="002D64E1" w:rsidRDefault="00000000">
      <w:pPr>
        <w:numPr>
          <w:ilvl w:val="0"/>
          <w:numId w:val="2"/>
        </w:numPr>
        <w:pBdr>
          <w:top w:val="nil"/>
          <w:left w:val="nil"/>
          <w:bottom w:val="nil"/>
          <w:right w:val="nil"/>
          <w:between w:val="nil"/>
        </w:pBdr>
        <w:shd w:val="clear" w:color="auto" w:fill="FFFFFF"/>
        <w:spacing w:after="0"/>
        <w:rPr>
          <w:rFonts w:ascii="DM Sans" w:eastAsia="DM Sans" w:hAnsi="DM Sans" w:cs="DM Sans"/>
          <w:b/>
          <w:color w:val="1A1C1E"/>
          <w:sz w:val="21"/>
          <w:szCs w:val="21"/>
          <w:highlight w:val="white"/>
        </w:rPr>
      </w:pPr>
      <w:r>
        <w:rPr>
          <w:rFonts w:ascii="DM Sans" w:eastAsia="DM Sans" w:hAnsi="DM Sans" w:cs="DM Sans"/>
          <w:b/>
          <w:color w:val="1A1C1E"/>
          <w:sz w:val="21"/>
          <w:szCs w:val="21"/>
          <w:highlight w:val="white"/>
        </w:rPr>
        <w:t>Preferred Position:</w:t>
      </w:r>
    </w:p>
    <w:p w14:paraId="0000003E" w14:textId="77777777" w:rsidR="002D64E1" w:rsidRDefault="00000000">
      <w:pPr>
        <w:numPr>
          <w:ilvl w:val="1"/>
          <w:numId w:val="2"/>
        </w:numPr>
        <w:shd w:val="clear" w:color="auto" w:fill="FFFFFF"/>
        <w:spacing w:after="22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Explicit Language:</w:t>
      </w:r>
      <w:r>
        <w:rPr>
          <w:rFonts w:ascii="DM Sans" w:eastAsia="DM Sans" w:hAnsi="DM Sans" w:cs="DM Sans"/>
          <w:b/>
          <w:color w:val="1A1C1E"/>
          <w:sz w:val="21"/>
          <w:szCs w:val="21"/>
          <w:highlight w:val="white"/>
        </w:rPr>
        <w:br/>
      </w:r>
      <w:r>
        <w:rPr>
          <w:rFonts w:ascii="DM Sans" w:eastAsia="DM Sans" w:hAnsi="DM Sans" w:cs="DM Sans"/>
          <w:color w:val="1A1C1E"/>
          <w:sz w:val="21"/>
          <w:szCs w:val="21"/>
          <w:highlight w:val="white"/>
        </w:rPr>
        <w:t>"In no event will [Company Name]'s aggregate liability arising out of or related to this Agreement exceed the total amount of fees paid or payable by Customer to [Company Name] under this Agreement in the twelve (12) months preceding the event giving rise to the claim. The foregoing limitation will apply whether an action is in contract or tort and regardless of the theory of liability.</w:t>
      </w:r>
    </w:p>
    <w:p w14:paraId="0000003F" w14:textId="77777777" w:rsidR="002D64E1" w:rsidRDefault="00000000">
      <w:pPr>
        <w:shd w:val="clear" w:color="auto" w:fill="FFFFFF"/>
        <w:spacing w:before="220" w:after="0"/>
        <w:ind w:left="1440"/>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In no event will either party have any liability to the other party for any lost profits, revenues, or for any indirect, special, incidental, consequential, or punitive damages, however caused, and whether or not the party has been advised of the possibility of such damages."</w:t>
      </w:r>
    </w:p>
    <w:p w14:paraId="00000040" w14:textId="77777777" w:rsidR="002D64E1" w:rsidRDefault="00000000">
      <w:pPr>
        <w:numPr>
          <w:ilvl w:val="1"/>
          <w:numId w:val="2"/>
        </w:numPr>
        <w:shd w:val="clear" w:color="auto" w:fill="FFFFFF"/>
        <w:spacing w:before="220"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 xml:space="preserve">Internal Comment: </w:t>
      </w:r>
      <w:r>
        <w:rPr>
          <w:rFonts w:ascii="DM Sans" w:eastAsia="DM Sans" w:hAnsi="DM Sans" w:cs="DM Sans"/>
          <w:color w:val="1A1C1E"/>
          <w:sz w:val="21"/>
          <w:szCs w:val="21"/>
          <w:highlight w:val="white"/>
        </w:rPr>
        <w:t>This is our gold standard. It caps liability at 12 months of fees and excludes all consequential damages. This is the most defensible and protective position. Do not deviate without moving to a fallback.</w:t>
      </w:r>
    </w:p>
    <w:p w14:paraId="00000041" w14:textId="77777777" w:rsidR="002D64E1" w:rsidRDefault="00000000">
      <w:pPr>
        <w:numPr>
          <w:ilvl w:val="1"/>
          <w:numId w:val="2"/>
        </w:numPr>
        <w:shd w:val="clear" w:color="auto" w:fill="FFFFFF"/>
        <w:spacing w:before="240"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lastRenderedPageBreak/>
        <w:t xml:space="preserve">External Comment (to share with customer): </w:t>
      </w:r>
      <w:r>
        <w:rPr>
          <w:rFonts w:ascii="DM Sans" w:eastAsia="DM Sans" w:hAnsi="DM Sans" w:cs="DM Sans"/>
          <w:color w:val="1A1C1E"/>
          <w:sz w:val="21"/>
          <w:szCs w:val="21"/>
          <w:highlight w:val="white"/>
        </w:rPr>
        <w:t>This is a standard market position for SaaS agreements. It ensures that the risk is allocated proportionally to the commercial value of the contract, which is fair for both parties.</w:t>
      </w:r>
    </w:p>
    <w:p w14:paraId="00000042" w14:textId="77777777" w:rsidR="002D64E1" w:rsidRDefault="00000000">
      <w:pPr>
        <w:numPr>
          <w:ilvl w:val="1"/>
          <w:numId w:val="2"/>
        </w:numPr>
        <w:shd w:val="clear" w:color="auto" w:fill="FFFFFF"/>
        <w:spacing w:before="240"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Verbatim language from previous contracts:</w:t>
      </w:r>
      <w:r>
        <w:rPr>
          <w:rFonts w:ascii="DM Sans" w:eastAsia="DM Sans" w:hAnsi="DM Sans" w:cs="DM Sans"/>
          <w:color w:val="1A1C1E"/>
          <w:sz w:val="21"/>
          <w:szCs w:val="21"/>
          <w:highlight w:val="white"/>
        </w:rPr>
        <w:t xml:space="preserve"> Include 2-3 examples of exact legal language that are acceptable for this preferred position.</w:t>
      </w:r>
    </w:p>
    <w:p w14:paraId="00000043" w14:textId="77777777" w:rsidR="002D64E1" w:rsidRDefault="00000000">
      <w:pPr>
        <w:numPr>
          <w:ilvl w:val="2"/>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 xml:space="preserve">Example: </w:t>
      </w:r>
    </w:p>
    <w:p w14:paraId="00000044"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“Neither party’s liability shall exceed the fees paid in the twelve (12) months prior to the cause of action, except for confidentiality breaches and IP infringement.”</w:t>
      </w:r>
    </w:p>
    <w:p w14:paraId="00000045"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“The aggregate liability of either party shall be limited to the amounts actually paid under this Agreement during the one-year preceding the incident.”</w:t>
      </w:r>
    </w:p>
    <w:p w14:paraId="00000046" w14:textId="77777777" w:rsidR="002D64E1" w:rsidRDefault="00000000">
      <w:pPr>
        <w:numPr>
          <w:ilvl w:val="2"/>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 xml:space="preserve">Why it matches our preferred position: </w:t>
      </w:r>
      <w:r>
        <w:rPr>
          <w:rFonts w:ascii="DM Sans" w:eastAsia="DM Sans" w:hAnsi="DM Sans" w:cs="DM Sans"/>
          <w:color w:val="1A1C1E"/>
          <w:sz w:val="21"/>
          <w:szCs w:val="21"/>
          <w:highlight w:val="white"/>
        </w:rPr>
        <w:t>Explanation of why an example is acceptable, even if it’s not verbatim from the template. This shows Jurist the level of flexibility allowed and any nuances.</w:t>
      </w:r>
    </w:p>
    <w:p w14:paraId="00000047"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Example:</w:t>
      </w:r>
      <w:r>
        <w:rPr>
          <w:rFonts w:ascii="DM Sans" w:eastAsia="DM Sans" w:hAnsi="DM Sans" w:cs="DM Sans"/>
          <w:color w:val="1A1C1E"/>
          <w:sz w:val="21"/>
          <w:szCs w:val="21"/>
          <w:highlight w:val="white"/>
        </w:rPr>
        <w:t xml:space="preserve"> </w:t>
      </w:r>
      <w:r>
        <w:rPr>
          <w:rFonts w:ascii="DM Sans" w:eastAsia="DM Sans" w:hAnsi="DM Sans" w:cs="DM Sans"/>
          <w:sz w:val="21"/>
          <w:szCs w:val="21"/>
        </w:rPr>
        <w:t>Both examples cap liability, tie it to fees, and preserve carve-outs, even if phrased differently from the template.</w:t>
      </w:r>
    </w:p>
    <w:p w14:paraId="00000048" w14:textId="77777777" w:rsidR="002D64E1" w:rsidRDefault="00000000">
      <w:pPr>
        <w:pStyle w:val="Heading3"/>
        <w:keepNext w:val="0"/>
        <w:keepLines w:val="0"/>
        <w:numPr>
          <w:ilvl w:val="0"/>
          <w:numId w:val="2"/>
        </w:numPr>
        <w:shd w:val="clear" w:color="auto" w:fill="FFFFFF"/>
        <w:spacing w:before="0" w:after="0"/>
        <w:rPr>
          <w:rFonts w:ascii="DM Sans" w:eastAsia="DM Sans" w:hAnsi="DM Sans" w:cs="DM Sans"/>
          <w:b/>
          <w:color w:val="1A1C1E"/>
          <w:sz w:val="21"/>
          <w:szCs w:val="21"/>
          <w:highlight w:val="white"/>
        </w:rPr>
      </w:pPr>
      <w:bookmarkStart w:id="8" w:name="_heading=h.vr5i5g9kjra3" w:colFirst="0" w:colLast="0"/>
      <w:bookmarkEnd w:id="8"/>
      <w:r>
        <w:rPr>
          <w:rFonts w:ascii="DM Sans" w:eastAsia="DM Sans" w:hAnsi="DM Sans" w:cs="DM Sans"/>
          <w:b/>
          <w:color w:val="1A1C1E"/>
          <w:sz w:val="21"/>
          <w:szCs w:val="21"/>
          <w:highlight w:val="white"/>
        </w:rPr>
        <w:t>Fallback 1:</w:t>
      </w:r>
    </w:p>
    <w:p w14:paraId="00000049" w14:textId="77777777" w:rsidR="002D64E1" w:rsidRDefault="00000000">
      <w:pPr>
        <w:numPr>
          <w:ilvl w:val="1"/>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When and Why to Use This:</w:t>
      </w:r>
      <w:r>
        <w:rPr>
          <w:rFonts w:ascii="DM Sans" w:eastAsia="DM Sans" w:hAnsi="DM Sans" w:cs="DM Sans"/>
          <w:color w:val="1A1C1E"/>
          <w:sz w:val="21"/>
          <w:szCs w:val="21"/>
          <w:highlight w:val="white"/>
        </w:rPr>
        <w:t xml:space="preserve"> Use when the customer argues that 12 months of fees is insufficient for their risk profile, especially on a large initial deal where 12 months of fees might be low. This offers a higher, yet still fixed, cap.</w:t>
      </w:r>
    </w:p>
    <w:p w14:paraId="0000004A" w14:textId="77777777" w:rsidR="002D64E1" w:rsidRDefault="00000000">
      <w:pPr>
        <w:numPr>
          <w:ilvl w:val="1"/>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Explicit Language:</w:t>
      </w:r>
    </w:p>
    <w:p w14:paraId="0000004B" w14:textId="77777777" w:rsidR="002D64E1" w:rsidRDefault="00000000">
      <w:pPr>
        <w:numPr>
          <w:ilvl w:val="2"/>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sz w:val="21"/>
          <w:szCs w:val="21"/>
        </w:rPr>
        <w:t>Example 1:</w:t>
      </w:r>
      <w:r>
        <w:rPr>
          <w:rFonts w:ascii="DM Sans" w:eastAsia="DM Sans" w:hAnsi="DM Sans" w:cs="DM Sans"/>
          <w:sz w:val="21"/>
          <w:szCs w:val="21"/>
        </w:rPr>
        <w:br/>
      </w:r>
      <w:r>
        <w:rPr>
          <w:rFonts w:ascii="DM Sans" w:eastAsia="DM Sans" w:hAnsi="DM Sans" w:cs="DM Sans"/>
          <w:color w:val="1A1C1E"/>
          <w:sz w:val="21"/>
          <w:szCs w:val="21"/>
          <w:highlight w:val="white"/>
        </w:rPr>
        <w:t>“Except for liability arising from gross negligence, willful misconduct, or breach of confidentiality, the aggregate liability of [Company Name] under this Agreement shall not exceed the greater of (</w:t>
      </w:r>
      <w:proofErr w:type="spellStart"/>
      <w:r>
        <w:rPr>
          <w:rFonts w:ascii="DM Sans" w:eastAsia="DM Sans" w:hAnsi="DM Sans" w:cs="DM Sans"/>
          <w:color w:val="1A1C1E"/>
          <w:sz w:val="21"/>
          <w:szCs w:val="21"/>
          <w:highlight w:val="white"/>
        </w:rPr>
        <w:t>i</w:t>
      </w:r>
      <w:proofErr w:type="spellEnd"/>
      <w:r>
        <w:rPr>
          <w:rFonts w:ascii="DM Sans" w:eastAsia="DM Sans" w:hAnsi="DM Sans" w:cs="DM Sans"/>
          <w:color w:val="1A1C1E"/>
          <w:sz w:val="21"/>
          <w:szCs w:val="21"/>
          <w:highlight w:val="white"/>
        </w:rPr>
        <w:t>) the total fees paid by Customer during the twelve (12) months prior to the claim, or (ii) $500,000.”</w:t>
      </w:r>
    </w:p>
    <w:p w14:paraId="0000004C" w14:textId="77777777" w:rsidR="002D64E1" w:rsidRDefault="00000000">
      <w:pPr>
        <w:numPr>
          <w:ilvl w:val="2"/>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sz w:val="21"/>
          <w:szCs w:val="21"/>
        </w:rPr>
        <w:t>Example 2:</w:t>
      </w:r>
      <w:r>
        <w:rPr>
          <w:rFonts w:ascii="DM Sans" w:eastAsia="DM Sans" w:hAnsi="DM Sans" w:cs="DM Sans"/>
          <w:sz w:val="21"/>
          <w:szCs w:val="21"/>
        </w:rPr>
        <w:br/>
      </w:r>
      <w:r>
        <w:rPr>
          <w:rFonts w:ascii="DM Sans" w:eastAsia="DM Sans" w:hAnsi="DM Sans" w:cs="DM Sans"/>
          <w:color w:val="1A1C1E"/>
          <w:sz w:val="21"/>
          <w:szCs w:val="21"/>
          <w:highlight w:val="white"/>
        </w:rPr>
        <w:t>“Notwithstanding anything to the contrary, [Company Name]’s maximum liability for damages under this Agreement shall in no event exceed the higher of (a) amounts paid or payable to [Company Name] in the twelve (12) months immediately preceding the cause of action, or (b) $1,000,000.”</w:t>
      </w:r>
    </w:p>
    <w:p w14:paraId="0000004D" w14:textId="77777777" w:rsidR="002D64E1" w:rsidRDefault="00000000">
      <w:pPr>
        <w:numPr>
          <w:ilvl w:val="1"/>
          <w:numId w:val="2"/>
        </w:numPr>
        <w:shd w:val="clear" w:color="auto" w:fill="FFFFFF"/>
        <w:spacing w:before="220"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 xml:space="preserve">Approval required: </w:t>
      </w:r>
      <w:r>
        <w:rPr>
          <w:rFonts w:ascii="DM Sans" w:eastAsia="DM Sans" w:hAnsi="DM Sans" w:cs="DM Sans"/>
          <w:color w:val="1A1C1E"/>
          <w:sz w:val="21"/>
          <w:szCs w:val="21"/>
          <w:highlight w:val="white"/>
        </w:rPr>
        <w:t xml:space="preserve">This section requires approval by the revenue recognition team </w:t>
      </w:r>
    </w:p>
    <w:p w14:paraId="0000004E" w14:textId="77777777" w:rsidR="002D64E1" w:rsidRDefault="00000000">
      <w:pPr>
        <w:numPr>
          <w:ilvl w:val="1"/>
          <w:numId w:val="2"/>
        </w:numPr>
        <w:shd w:val="clear" w:color="auto" w:fill="FFFFFF"/>
        <w:spacing w:after="0"/>
        <w:rPr>
          <w:rFonts w:ascii="DM Sans" w:eastAsia="DM Sans" w:hAnsi="DM Sans" w:cs="DM Sans"/>
          <w:b/>
          <w:color w:val="1A1C1E"/>
          <w:sz w:val="21"/>
          <w:szCs w:val="21"/>
          <w:highlight w:val="white"/>
        </w:rPr>
      </w:pPr>
      <w:r>
        <w:rPr>
          <w:rFonts w:ascii="DM Sans" w:eastAsia="DM Sans" w:hAnsi="DM Sans" w:cs="DM Sans"/>
          <w:b/>
          <w:color w:val="1A1C1E"/>
          <w:sz w:val="21"/>
          <w:szCs w:val="21"/>
          <w:highlight w:val="white"/>
        </w:rPr>
        <w:t xml:space="preserve">Internal comment: </w:t>
      </w:r>
      <w:r>
        <w:rPr>
          <w:rFonts w:ascii="DM Sans" w:eastAsia="DM Sans" w:hAnsi="DM Sans" w:cs="DM Sans"/>
          <w:color w:val="1A1C1E"/>
          <w:sz w:val="21"/>
          <w:szCs w:val="21"/>
          <w:highlight w:val="white"/>
        </w:rPr>
        <w:t xml:space="preserve">We can accept additional risk in this area </w:t>
      </w:r>
      <w:proofErr w:type="gramStart"/>
      <w:r>
        <w:rPr>
          <w:rFonts w:ascii="DM Sans" w:eastAsia="DM Sans" w:hAnsi="DM Sans" w:cs="DM Sans"/>
          <w:color w:val="1A1C1E"/>
          <w:sz w:val="21"/>
          <w:szCs w:val="21"/>
          <w:highlight w:val="white"/>
        </w:rPr>
        <w:t>as long as</w:t>
      </w:r>
      <w:proofErr w:type="gramEnd"/>
      <w:r>
        <w:rPr>
          <w:rFonts w:ascii="DM Sans" w:eastAsia="DM Sans" w:hAnsi="DM Sans" w:cs="DM Sans"/>
          <w:color w:val="1A1C1E"/>
          <w:sz w:val="21"/>
          <w:szCs w:val="21"/>
          <w:highlight w:val="white"/>
        </w:rPr>
        <w:t xml:space="preserve"> the agreed fixed amount doesn’t exceed $1M</w:t>
      </w:r>
    </w:p>
    <w:p w14:paraId="0000004F" w14:textId="77777777" w:rsidR="002D64E1" w:rsidRDefault="00000000">
      <w:pPr>
        <w:numPr>
          <w:ilvl w:val="1"/>
          <w:numId w:val="2"/>
        </w:numPr>
        <w:shd w:val="clear" w:color="auto" w:fill="FFFFFF"/>
        <w:spacing w:after="0"/>
        <w:rPr>
          <w:rFonts w:ascii="DM Sans" w:eastAsia="DM Sans" w:hAnsi="DM Sans" w:cs="DM Sans"/>
          <w:b/>
          <w:color w:val="1A1C1E"/>
          <w:sz w:val="21"/>
          <w:szCs w:val="21"/>
          <w:highlight w:val="white"/>
        </w:rPr>
      </w:pPr>
      <w:r>
        <w:rPr>
          <w:rFonts w:ascii="DM Sans" w:eastAsia="DM Sans" w:hAnsi="DM Sans" w:cs="DM Sans"/>
          <w:b/>
          <w:color w:val="1A1C1E"/>
          <w:sz w:val="21"/>
          <w:szCs w:val="21"/>
          <w:highlight w:val="white"/>
        </w:rPr>
        <w:t xml:space="preserve">External comment: </w:t>
      </w:r>
      <w:r>
        <w:rPr>
          <w:rFonts w:ascii="DM Sans" w:eastAsia="DM Sans" w:hAnsi="DM Sans" w:cs="DM Sans"/>
          <w:color w:val="1A1C1E"/>
          <w:sz w:val="21"/>
          <w:szCs w:val="21"/>
          <w:highlight w:val="white"/>
        </w:rPr>
        <w:t xml:space="preserve">We can increase the aggregate liability to $X amount. </w:t>
      </w:r>
    </w:p>
    <w:p w14:paraId="00000050" w14:textId="77777777" w:rsidR="002D64E1" w:rsidRDefault="00000000">
      <w:pPr>
        <w:numPr>
          <w:ilvl w:val="1"/>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lastRenderedPageBreak/>
        <w:t xml:space="preserve">Verbatim language from previous contracts: </w:t>
      </w:r>
      <w:r>
        <w:rPr>
          <w:rFonts w:ascii="DM Sans" w:eastAsia="DM Sans" w:hAnsi="DM Sans" w:cs="DM Sans"/>
          <w:color w:val="1A1C1E"/>
          <w:sz w:val="21"/>
          <w:szCs w:val="21"/>
          <w:highlight w:val="white"/>
        </w:rPr>
        <w:t>Include 2-3 examples of exact legal language that are acceptable for this fallback position.</w:t>
      </w:r>
    </w:p>
    <w:p w14:paraId="00000051" w14:textId="77777777" w:rsidR="002D64E1" w:rsidRDefault="00000000">
      <w:pPr>
        <w:numPr>
          <w:ilvl w:val="2"/>
          <w:numId w:val="2"/>
        </w:numPr>
        <w:shd w:val="clear" w:color="auto" w:fill="FFFFFF"/>
        <w:spacing w:after="0"/>
        <w:rPr>
          <w:rFonts w:ascii="DM Sans" w:eastAsia="DM Sans" w:hAnsi="DM Sans" w:cs="DM Sans"/>
          <w:b/>
          <w:color w:val="1A1C1E"/>
          <w:sz w:val="21"/>
          <w:szCs w:val="21"/>
          <w:highlight w:val="white"/>
        </w:rPr>
      </w:pPr>
      <w:r>
        <w:rPr>
          <w:rFonts w:ascii="DM Sans" w:eastAsia="DM Sans" w:hAnsi="DM Sans" w:cs="DM Sans"/>
          <w:b/>
          <w:color w:val="1A1C1E"/>
          <w:sz w:val="21"/>
          <w:szCs w:val="21"/>
          <w:highlight w:val="white"/>
        </w:rPr>
        <w:t xml:space="preserve">Examples: </w:t>
      </w:r>
    </w:p>
    <w:p w14:paraId="00000052"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“Neither party’s liability shall exceed the fees paid in the twelve (12) months prior to the cause of action, except for confidentiality breaches and IP infringement.”</w:t>
      </w:r>
    </w:p>
    <w:p w14:paraId="00000053"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“The aggregate liability of either party shall be limited to the amounts actually paid under this Agreement during the one-year preceding the incident.”</w:t>
      </w:r>
    </w:p>
    <w:p w14:paraId="00000054" w14:textId="77777777" w:rsidR="002D64E1" w:rsidRDefault="00000000">
      <w:pPr>
        <w:numPr>
          <w:ilvl w:val="2"/>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 xml:space="preserve">Why it matches our fallback position: </w:t>
      </w:r>
      <w:r>
        <w:rPr>
          <w:rFonts w:ascii="DM Sans" w:eastAsia="DM Sans" w:hAnsi="DM Sans" w:cs="DM Sans"/>
          <w:color w:val="1A1C1E"/>
          <w:sz w:val="21"/>
          <w:szCs w:val="21"/>
          <w:highlight w:val="white"/>
        </w:rPr>
        <w:t>Explanation of why an example is acceptable, even if it’s not verbatim from the template. This shows Jurist the level of flexibility allowed and any nuances.</w:t>
      </w:r>
    </w:p>
    <w:p w14:paraId="00000055"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Example:</w:t>
      </w:r>
      <w:r>
        <w:rPr>
          <w:rFonts w:ascii="DM Sans" w:eastAsia="DM Sans" w:hAnsi="DM Sans" w:cs="DM Sans"/>
          <w:color w:val="1A1C1E"/>
          <w:sz w:val="21"/>
          <w:szCs w:val="21"/>
          <w:highlight w:val="white"/>
        </w:rPr>
        <w:t xml:space="preserve"> Both examples cap liability, tie it to fees, and preserve carve-outs, even if phrased differently from the template.</w:t>
      </w:r>
    </w:p>
    <w:p w14:paraId="00000056" w14:textId="77777777" w:rsidR="002D64E1" w:rsidRDefault="00000000">
      <w:pPr>
        <w:pStyle w:val="Heading3"/>
        <w:keepNext w:val="0"/>
        <w:keepLines w:val="0"/>
        <w:numPr>
          <w:ilvl w:val="0"/>
          <w:numId w:val="2"/>
        </w:numPr>
        <w:shd w:val="clear" w:color="auto" w:fill="FFFFFF"/>
        <w:spacing w:before="0" w:after="0"/>
        <w:rPr>
          <w:rFonts w:ascii="DM Sans" w:eastAsia="DM Sans" w:hAnsi="DM Sans" w:cs="DM Sans"/>
          <w:b/>
          <w:color w:val="1A1C1E"/>
          <w:sz w:val="21"/>
          <w:szCs w:val="21"/>
          <w:highlight w:val="white"/>
        </w:rPr>
      </w:pPr>
      <w:bookmarkStart w:id="9" w:name="_heading=h.ew5b67nsy0vu" w:colFirst="0" w:colLast="0"/>
      <w:bookmarkEnd w:id="9"/>
      <w:r>
        <w:rPr>
          <w:rFonts w:ascii="DM Sans" w:eastAsia="DM Sans" w:hAnsi="DM Sans" w:cs="DM Sans"/>
          <w:b/>
          <w:color w:val="1A1C1E"/>
          <w:sz w:val="21"/>
          <w:szCs w:val="21"/>
          <w:highlight w:val="white"/>
        </w:rPr>
        <w:t>Fallback 2:</w:t>
      </w:r>
    </w:p>
    <w:p w14:paraId="00000057" w14:textId="77777777" w:rsidR="002D64E1" w:rsidRDefault="00000000">
      <w:pPr>
        <w:numPr>
          <w:ilvl w:val="1"/>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When and Why to Use This:</w:t>
      </w:r>
      <w:r>
        <w:rPr>
          <w:rFonts w:ascii="DM Sans" w:eastAsia="DM Sans" w:hAnsi="DM Sans" w:cs="DM Sans"/>
          <w:color w:val="1A1C1E"/>
          <w:sz w:val="21"/>
          <w:szCs w:val="21"/>
          <w:highlight w:val="white"/>
        </w:rPr>
        <w:t xml:space="preserve"> Use for strategic, high-value customers who demand higher "super-caps" for specific high-risk breaches, such as data security or confidentiality breaches, while keeping the general cap lower.</w:t>
      </w:r>
    </w:p>
    <w:p w14:paraId="00000058" w14:textId="77777777" w:rsidR="002D64E1" w:rsidRDefault="00000000">
      <w:pPr>
        <w:numPr>
          <w:ilvl w:val="1"/>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Explicit Language:</w:t>
      </w:r>
      <w:r>
        <w:rPr>
          <w:rFonts w:ascii="DM Sans" w:eastAsia="DM Sans" w:hAnsi="DM Sans" w:cs="DM Sans"/>
          <w:b/>
          <w:color w:val="1A1C1E"/>
          <w:sz w:val="21"/>
          <w:szCs w:val="21"/>
          <w:highlight w:val="white"/>
        </w:rPr>
        <w:br/>
      </w:r>
      <w:r>
        <w:rPr>
          <w:rFonts w:ascii="DM Sans" w:eastAsia="DM Sans" w:hAnsi="DM Sans" w:cs="DM Sans"/>
          <w:color w:val="1A1C1E"/>
          <w:sz w:val="21"/>
          <w:szCs w:val="21"/>
          <w:highlight w:val="white"/>
        </w:rPr>
        <w:t>"Notwithstanding the foregoing, [Company Name]'s aggregate liability for breaches of its obligations under Section [Data Security Section #] and Section [Confidentiality Section #] shall not exceed the greater of (a) two times (2x) the total amount of fees paid or payable by Customer in the preceding twelve (12) months, or (b) [Higher Agreed Fixed Amount, e.g., $1,000,000 USD]."</w:t>
      </w:r>
    </w:p>
    <w:p w14:paraId="00000059" w14:textId="77777777" w:rsidR="002D64E1" w:rsidRDefault="00000000">
      <w:pPr>
        <w:numPr>
          <w:ilvl w:val="1"/>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Approvals Required:</w:t>
      </w:r>
      <w:r>
        <w:rPr>
          <w:rFonts w:ascii="DM Sans" w:eastAsia="DM Sans" w:hAnsi="DM Sans" w:cs="DM Sans"/>
          <w:b/>
          <w:color w:val="1A1C1E"/>
          <w:sz w:val="21"/>
          <w:szCs w:val="21"/>
          <w:highlight w:val="white"/>
        </w:rPr>
        <w:br/>
      </w:r>
      <w:r>
        <w:rPr>
          <w:rFonts w:ascii="DM Sans" w:eastAsia="DM Sans" w:hAnsi="DM Sans" w:cs="DM Sans"/>
          <w:color w:val="1A1C1E"/>
          <w:sz w:val="21"/>
          <w:szCs w:val="21"/>
          <w:highlight w:val="white"/>
        </w:rPr>
        <w:t>Legal Counsel</w:t>
      </w:r>
    </w:p>
    <w:p w14:paraId="0000005A" w14:textId="77777777" w:rsidR="002D64E1" w:rsidRDefault="00000000">
      <w:pPr>
        <w:numPr>
          <w:ilvl w:val="1"/>
          <w:numId w:val="2"/>
        </w:numPr>
        <w:shd w:val="clear" w:color="auto" w:fill="FFFFFF"/>
        <w:spacing w:after="0"/>
        <w:rPr>
          <w:rFonts w:ascii="DM Sans" w:eastAsia="DM Sans" w:hAnsi="DM Sans" w:cs="DM Sans"/>
          <w:b/>
          <w:color w:val="1A1C1E"/>
          <w:sz w:val="21"/>
          <w:szCs w:val="21"/>
          <w:highlight w:val="white"/>
        </w:rPr>
      </w:pPr>
      <w:r>
        <w:rPr>
          <w:rFonts w:ascii="DM Sans" w:eastAsia="DM Sans" w:hAnsi="DM Sans" w:cs="DM Sans"/>
          <w:b/>
          <w:color w:val="1A1C1E"/>
          <w:sz w:val="21"/>
          <w:szCs w:val="21"/>
          <w:highlight w:val="white"/>
        </w:rPr>
        <w:t xml:space="preserve">Internal comment: </w:t>
      </w:r>
      <w:r>
        <w:rPr>
          <w:rFonts w:ascii="DM Sans" w:eastAsia="DM Sans" w:hAnsi="DM Sans" w:cs="DM Sans"/>
          <w:color w:val="1A1C1E"/>
          <w:sz w:val="21"/>
          <w:szCs w:val="21"/>
          <w:highlight w:val="white"/>
        </w:rPr>
        <w:t xml:space="preserve">We can accept additional risk in this area </w:t>
      </w:r>
      <w:proofErr w:type="gramStart"/>
      <w:r>
        <w:rPr>
          <w:rFonts w:ascii="DM Sans" w:eastAsia="DM Sans" w:hAnsi="DM Sans" w:cs="DM Sans"/>
          <w:color w:val="1A1C1E"/>
          <w:sz w:val="21"/>
          <w:szCs w:val="21"/>
          <w:highlight w:val="white"/>
        </w:rPr>
        <w:t>as long as</w:t>
      </w:r>
      <w:proofErr w:type="gramEnd"/>
      <w:r>
        <w:rPr>
          <w:rFonts w:ascii="DM Sans" w:eastAsia="DM Sans" w:hAnsi="DM Sans" w:cs="DM Sans"/>
          <w:color w:val="1A1C1E"/>
          <w:sz w:val="21"/>
          <w:szCs w:val="21"/>
          <w:highlight w:val="white"/>
        </w:rPr>
        <w:t xml:space="preserve"> the agreed fixed amount doesn’t exceed $600,000.</w:t>
      </w:r>
    </w:p>
    <w:p w14:paraId="0000005B" w14:textId="77777777" w:rsidR="002D64E1" w:rsidRDefault="00000000">
      <w:pPr>
        <w:numPr>
          <w:ilvl w:val="1"/>
          <w:numId w:val="2"/>
        </w:numPr>
        <w:shd w:val="clear" w:color="auto" w:fill="FFFFFF"/>
        <w:spacing w:after="0"/>
        <w:rPr>
          <w:rFonts w:ascii="DM Sans" w:eastAsia="DM Sans" w:hAnsi="DM Sans" w:cs="DM Sans"/>
          <w:b/>
          <w:color w:val="1A1C1E"/>
          <w:sz w:val="21"/>
          <w:szCs w:val="21"/>
          <w:highlight w:val="white"/>
        </w:rPr>
      </w:pPr>
      <w:r>
        <w:rPr>
          <w:rFonts w:ascii="DM Sans" w:eastAsia="DM Sans" w:hAnsi="DM Sans" w:cs="DM Sans"/>
          <w:b/>
          <w:color w:val="1A1C1E"/>
          <w:sz w:val="21"/>
          <w:szCs w:val="21"/>
          <w:highlight w:val="white"/>
        </w:rPr>
        <w:t xml:space="preserve">External comment: </w:t>
      </w:r>
      <w:r>
        <w:rPr>
          <w:rFonts w:ascii="DM Sans" w:eastAsia="DM Sans" w:hAnsi="DM Sans" w:cs="DM Sans"/>
          <w:color w:val="1A1C1E"/>
          <w:sz w:val="21"/>
          <w:szCs w:val="21"/>
          <w:highlight w:val="white"/>
        </w:rPr>
        <w:t xml:space="preserve">We can increase the aggregate liability to $X amount. </w:t>
      </w:r>
    </w:p>
    <w:p w14:paraId="0000005C" w14:textId="77777777" w:rsidR="002D64E1" w:rsidRDefault="00000000">
      <w:pPr>
        <w:numPr>
          <w:ilvl w:val="1"/>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Verbatim language from previous contracts: I</w:t>
      </w:r>
      <w:r>
        <w:rPr>
          <w:rFonts w:ascii="DM Sans" w:eastAsia="DM Sans" w:hAnsi="DM Sans" w:cs="DM Sans"/>
          <w:color w:val="1A1C1E"/>
          <w:sz w:val="21"/>
          <w:szCs w:val="21"/>
          <w:highlight w:val="white"/>
        </w:rPr>
        <w:t>nclude 2-3 examples of exact legal language that are acceptable for this fallback position.</w:t>
      </w:r>
    </w:p>
    <w:p w14:paraId="0000005D" w14:textId="77777777" w:rsidR="002D64E1" w:rsidRDefault="00000000">
      <w:pPr>
        <w:numPr>
          <w:ilvl w:val="2"/>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Examples:</w:t>
      </w:r>
    </w:p>
    <w:p w14:paraId="0000005E"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“Notwithstanding anything to the contrary, [Company Name]’s liability for any breach of its confidentiality or data protection obligations shall be limited to the greater of (</w:t>
      </w:r>
      <w:proofErr w:type="spellStart"/>
      <w:r>
        <w:rPr>
          <w:rFonts w:ascii="DM Sans" w:eastAsia="DM Sans" w:hAnsi="DM Sans" w:cs="DM Sans"/>
          <w:color w:val="1A1C1E"/>
          <w:sz w:val="21"/>
          <w:szCs w:val="21"/>
          <w:highlight w:val="white"/>
        </w:rPr>
        <w:t>i</w:t>
      </w:r>
      <w:proofErr w:type="spellEnd"/>
      <w:r>
        <w:rPr>
          <w:rFonts w:ascii="DM Sans" w:eastAsia="DM Sans" w:hAnsi="DM Sans" w:cs="DM Sans"/>
          <w:color w:val="1A1C1E"/>
          <w:sz w:val="21"/>
          <w:szCs w:val="21"/>
          <w:highlight w:val="white"/>
        </w:rPr>
        <w:t>) two (2) times the fees paid by Customer during the twelve (12) months immediately prior to the claim, or (ii) $1,000,000.”</w:t>
      </w:r>
    </w:p>
    <w:p w14:paraId="0000005F" w14:textId="77777777" w:rsidR="002D64E1" w:rsidRDefault="00000000">
      <w:pPr>
        <w:numPr>
          <w:ilvl w:val="3"/>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color w:val="1A1C1E"/>
          <w:sz w:val="21"/>
          <w:szCs w:val="21"/>
          <w:highlight w:val="white"/>
        </w:rPr>
        <w:t xml:space="preserve">“Except as provided under Section [Confidentiality] and Section [Data Security], the maximum liability of [Company Name] shall not exceed the greater of (a) two times (2x) the fees paid or payable </w:t>
      </w:r>
      <w:r>
        <w:rPr>
          <w:rFonts w:ascii="DM Sans" w:eastAsia="DM Sans" w:hAnsi="DM Sans" w:cs="DM Sans"/>
          <w:color w:val="1A1C1E"/>
          <w:sz w:val="21"/>
          <w:szCs w:val="21"/>
          <w:highlight w:val="white"/>
        </w:rPr>
        <w:lastRenderedPageBreak/>
        <w:t>by Customer in the twelve (12) months preceding the event giving rise to the claim, or (b) $2,000,000.”</w:t>
      </w:r>
    </w:p>
    <w:p w14:paraId="00000060" w14:textId="77777777" w:rsidR="002D64E1" w:rsidRDefault="00000000">
      <w:pPr>
        <w:numPr>
          <w:ilvl w:val="2"/>
          <w:numId w:val="2"/>
        </w:numPr>
        <w:shd w:val="clear" w:color="auto" w:fill="FFFFFF"/>
        <w:spacing w:after="0"/>
        <w:rPr>
          <w:rFonts w:ascii="DM Sans" w:eastAsia="DM Sans" w:hAnsi="DM Sans" w:cs="DM Sans"/>
          <w:color w:val="1A1C1E"/>
          <w:sz w:val="21"/>
          <w:szCs w:val="21"/>
          <w:highlight w:val="white"/>
        </w:rPr>
      </w:pPr>
      <w:r>
        <w:rPr>
          <w:rFonts w:ascii="DM Sans" w:eastAsia="DM Sans" w:hAnsi="DM Sans" w:cs="DM Sans"/>
          <w:b/>
          <w:color w:val="1A1C1E"/>
          <w:sz w:val="21"/>
          <w:szCs w:val="21"/>
          <w:highlight w:val="white"/>
        </w:rPr>
        <w:t xml:space="preserve">Why it matches our fallback position: </w:t>
      </w:r>
      <w:r>
        <w:rPr>
          <w:rFonts w:ascii="DM Sans" w:eastAsia="DM Sans" w:hAnsi="DM Sans" w:cs="DM Sans"/>
          <w:color w:val="1A1C1E"/>
          <w:sz w:val="21"/>
          <w:szCs w:val="21"/>
          <w:highlight w:val="white"/>
        </w:rPr>
        <w:t>Explanation of why an example is acceptable, even if it’s not verbatim from the template. This shows Jurist the level of flexibility allowed and any nuances.</w:t>
      </w:r>
    </w:p>
    <w:p w14:paraId="00000061" w14:textId="77777777" w:rsidR="002D64E1" w:rsidRDefault="00000000">
      <w:pPr>
        <w:numPr>
          <w:ilvl w:val="0"/>
          <w:numId w:val="4"/>
        </w:numPr>
        <w:pBdr>
          <w:top w:val="nil"/>
          <w:left w:val="nil"/>
          <w:bottom w:val="nil"/>
          <w:right w:val="nil"/>
          <w:between w:val="nil"/>
        </w:pBdr>
        <w:spacing w:after="280" w:line="240" w:lineRule="auto"/>
        <w:rPr>
          <w:rFonts w:ascii="DM Sans" w:eastAsia="DM Sans" w:hAnsi="DM Sans" w:cs="DM Sans"/>
          <w:color w:val="1A1C1E"/>
          <w:sz w:val="21"/>
          <w:szCs w:val="21"/>
          <w:highlight w:val="white"/>
        </w:rPr>
      </w:pPr>
      <w:bookmarkStart w:id="10" w:name="_heading=h.ocu9cwr0d5za" w:colFirst="0" w:colLast="0"/>
      <w:bookmarkEnd w:id="10"/>
      <w:r>
        <w:rPr>
          <w:rFonts w:ascii="DM Sans" w:eastAsia="DM Sans" w:hAnsi="DM Sans" w:cs="DM Sans"/>
          <w:b/>
          <w:color w:val="1A1C1E"/>
          <w:sz w:val="21"/>
          <w:szCs w:val="21"/>
          <w:highlight w:val="white"/>
        </w:rPr>
        <w:t xml:space="preserve">Example: </w:t>
      </w:r>
      <w:r>
        <w:rPr>
          <w:rFonts w:ascii="DM Sans" w:eastAsia="DM Sans" w:hAnsi="DM Sans" w:cs="DM Sans"/>
          <w:color w:val="1A1C1E"/>
          <w:sz w:val="21"/>
          <w:szCs w:val="21"/>
          <w:highlight w:val="white"/>
        </w:rPr>
        <w:t xml:space="preserve">Both examples </w:t>
      </w:r>
      <w:r>
        <w:rPr>
          <w:rFonts w:ascii="DM Sans" w:eastAsia="DM Sans" w:hAnsi="DM Sans" w:cs="DM Sans"/>
          <w:b/>
          <w:color w:val="1A1C1E"/>
          <w:sz w:val="21"/>
          <w:szCs w:val="21"/>
          <w:highlight w:val="white"/>
        </w:rPr>
        <w:t>explicitly carve out data security and confidentiality breaches</w:t>
      </w:r>
      <w:r>
        <w:rPr>
          <w:rFonts w:ascii="DM Sans" w:eastAsia="DM Sans" w:hAnsi="DM Sans" w:cs="DM Sans"/>
          <w:color w:val="1A1C1E"/>
          <w:sz w:val="21"/>
          <w:szCs w:val="21"/>
          <w:highlight w:val="white"/>
        </w:rPr>
        <w:t xml:space="preserve"> for enhanced liability treatment. They apply a </w:t>
      </w:r>
      <w:r>
        <w:rPr>
          <w:rFonts w:ascii="DM Sans" w:eastAsia="DM Sans" w:hAnsi="DM Sans" w:cs="DM Sans"/>
          <w:b/>
          <w:color w:val="1A1C1E"/>
          <w:sz w:val="21"/>
          <w:szCs w:val="21"/>
          <w:highlight w:val="white"/>
        </w:rPr>
        <w:t>2x multiplier</w:t>
      </w:r>
      <w:r>
        <w:rPr>
          <w:rFonts w:ascii="DM Sans" w:eastAsia="DM Sans" w:hAnsi="DM Sans" w:cs="DM Sans"/>
          <w:color w:val="1A1C1E"/>
          <w:sz w:val="21"/>
          <w:szCs w:val="21"/>
          <w:highlight w:val="white"/>
        </w:rPr>
        <w:t xml:space="preserve"> tied to fees paid or payable in the preceding 12 months. They include a </w:t>
      </w:r>
      <w:r>
        <w:rPr>
          <w:rFonts w:ascii="DM Sans" w:eastAsia="DM Sans" w:hAnsi="DM Sans" w:cs="DM Sans"/>
          <w:b/>
          <w:color w:val="1A1C1E"/>
          <w:sz w:val="21"/>
          <w:szCs w:val="21"/>
          <w:highlight w:val="white"/>
        </w:rPr>
        <w:t>fixed higher-dollar cap</w:t>
      </w:r>
      <w:r>
        <w:rPr>
          <w:rFonts w:ascii="DM Sans" w:eastAsia="DM Sans" w:hAnsi="DM Sans" w:cs="DM Sans"/>
          <w:color w:val="1A1C1E"/>
          <w:sz w:val="21"/>
          <w:szCs w:val="21"/>
          <w:highlight w:val="white"/>
        </w:rPr>
        <w:t xml:space="preserve"> ($1M or $2M). They maintain proportionality between contract value and risk, while still protecting customers on high-stakes obligations (confidentiality + security).</w:t>
      </w:r>
    </w:p>
    <w:p w14:paraId="00000062" w14:textId="77777777" w:rsidR="002D64E1" w:rsidRDefault="002D64E1">
      <w:pPr>
        <w:shd w:val="clear" w:color="auto" w:fill="FFFFFF"/>
        <w:spacing w:after="220"/>
        <w:ind w:left="1440"/>
        <w:rPr>
          <w:rFonts w:ascii="DM Sans" w:eastAsia="DM Sans" w:hAnsi="DM Sans" w:cs="DM Sans"/>
          <w:color w:val="1A1C1E"/>
          <w:sz w:val="21"/>
          <w:szCs w:val="21"/>
          <w:highlight w:val="white"/>
        </w:rPr>
      </w:pPr>
    </w:p>
    <w:p w14:paraId="00000063" w14:textId="77777777" w:rsidR="002D64E1" w:rsidRDefault="002D64E1">
      <w:pPr>
        <w:rPr>
          <w:rFonts w:ascii="DM Sans" w:eastAsia="DM Sans" w:hAnsi="DM Sans" w:cs="DM Sans"/>
          <w:sz w:val="21"/>
          <w:szCs w:val="21"/>
        </w:rPr>
      </w:pPr>
    </w:p>
    <w:sectPr w:rsidR="002D64E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E6C650-216C-F547-A176-864085E23E64}"/>
    <w:embedBold r:id="rId2" w:fontKey="{1D7AB635-5364-6B4C-A45A-70AA65672518}"/>
    <w:embedItalic r:id="rId3" w:fontKey="{D5BA3285-EDBB-A24C-88BA-F9AD5A84A515}"/>
  </w:font>
  <w:font w:name="Noto Sans Symbols">
    <w:charset w:val="00"/>
    <w:family w:val="auto"/>
    <w:pitch w:val="default"/>
    <w:embedRegular r:id="rId4" w:fontKey="{B5A9D77B-8EAA-D248-BAC0-87682565C229}"/>
  </w:font>
  <w:font w:name="Courier New">
    <w:panose1 w:val="02070309020205020404"/>
    <w:charset w:val="00"/>
    <w:family w:val="modern"/>
    <w:pitch w:val="fixed"/>
    <w:sig w:usb0="E0002EFF" w:usb1="C0007843" w:usb2="00000009" w:usb3="00000000" w:csb0="000001FF" w:csb1="00000000"/>
    <w:embedRegular r:id="rId5" w:fontKey="{1DBFD80B-AE2D-2F4D-934F-81534FD343DD}"/>
  </w:font>
  <w:font w:name="Aptos">
    <w:panose1 w:val="020B0004020202020204"/>
    <w:charset w:val="00"/>
    <w:family w:val="swiss"/>
    <w:pitch w:val="variable"/>
    <w:sig w:usb0="20000287" w:usb1="00000003" w:usb2="00000000" w:usb3="00000000" w:csb0="0000019F" w:csb1="00000000"/>
    <w:embedRegular r:id="rId6" w:fontKey="{314F43A1-1FAF-1844-9869-C38B05549138}"/>
    <w:embedItalic r:id="rId7" w:fontKey="{11A6F4A0-9303-BA40-B0BA-AEA3C94DD8A2}"/>
  </w:font>
  <w:font w:name="Play">
    <w:charset w:val="00"/>
    <w:family w:val="auto"/>
    <w:pitch w:val="default"/>
    <w:embedRegular r:id="rId8" w:fontKey="{299FDB5F-AC3F-F74A-AD3E-E044F8245184}"/>
  </w:font>
  <w:font w:name="Aptos Display">
    <w:panose1 w:val="020B0004020202020204"/>
    <w:charset w:val="00"/>
    <w:family w:val="swiss"/>
    <w:pitch w:val="variable"/>
    <w:sig w:usb0="20000287" w:usb1="00000003" w:usb2="00000000" w:usb3="00000000" w:csb0="0000019F" w:csb1="00000000"/>
    <w:embedRegular r:id="rId9" w:fontKey="{1859BE2D-213B-FB45-900F-3AE8C888B073}"/>
  </w:font>
  <w:font w:name="DM Sans">
    <w:panose1 w:val="00000000000000000000"/>
    <w:charset w:val="4D"/>
    <w:family w:val="auto"/>
    <w:pitch w:val="variable"/>
    <w:sig w:usb0="8000002F" w:usb1="5000205B" w:usb2="00000000" w:usb3="00000000" w:csb0="00000093" w:csb1="00000000"/>
    <w:embedRegular r:id="rId10" w:fontKey="{C6CEEFE0-C3DE-334D-8EC4-AAD9006C4E3A}"/>
    <w:embedBold r:id="rId11" w:fontKey="{7777D79B-FE26-214B-8EF0-22F105C20F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E4827"/>
    <w:multiLevelType w:val="multilevel"/>
    <w:tmpl w:val="9612CAB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173AA2"/>
    <w:multiLevelType w:val="multilevel"/>
    <w:tmpl w:val="5002BAC6"/>
    <w:lvl w:ilvl="0">
      <w:start w:val="1"/>
      <w:numFmt w:val="bullet"/>
      <w:lvlText w:val="●"/>
      <w:lvlJc w:val="left"/>
      <w:pPr>
        <w:ind w:left="2520" w:hanging="360"/>
      </w:pPr>
      <w:rPr>
        <w:rFonts w:ascii="Noto Sans Symbols" w:eastAsia="Noto Sans Symbols" w:hAnsi="Noto Sans Symbols" w:cs="Noto Sans Symbols"/>
        <w:sz w:val="20"/>
        <w:szCs w:val="20"/>
      </w:rPr>
    </w:lvl>
    <w:lvl w:ilvl="1">
      <w:start w:val="1"/>
      <w:numFmt w:val="bullet"/>
      <w:lvlText w:val="o"/>
      <w:lvlJc w:val="left"/>
      <w:pPr>
        <w:ind w:left="3240" w:hanging="360"/>
      </w:pPr>
      <w:rPr>
        <w:rFonts w:ascii="Courier New" w:eastAsia="Courier New" w:hAnsi="Courier New" w:cs="Courier New"/>
        <w:sz w:val="20"/>
        <w:szCs w:val="20"/>
      </w:rPr>
    </w:lvl>
    <w:lvl w:ilvl="2">
      <w:start w:val="1"/>
      <w:numFmt w:val="bullet"/>
      <w:lvlText w:val="▪"/>
      <w:lvlJc w:val="left"/>
      <w:pPr>
        <w:ind w:left="3960" w:hanging="360"/>
      </w:pPr>
      <w:rPr>
        <w:rFonts w:ascii="Noto Sans Symbols" w:eastAsia="Noto Sans Symbols" w:hAnsi="Noto Sans Symbols" w:cs="Noto Sans Symbols"/>
        <w:sz w:val="20"/>
        <w:szCs w:val="20"/>
      </w:rPr>
    </w:lvl>
    <w:lvl w:ilvl="3">
      <w:start w:val="1"/>
      <w:numFmt w:val="bullet"/>
      <w:lvlText w:val="▪"/>
      <w:lvlJc w:val="left"/>
      <w:pPr>
        <w:ind w:left="4680" w:hanging="360"/>
      </w:pPr>
      <w:rPr>
        <w:rFonts w:ascii="Noto Sans Symbols" w:eastAsia="Noto Sans Symbols" w:hAnsi="Noto Sans Symbols" w:cs="Noto Sans Symbols"/>
        <w:sz w:val="20"/>
        <w:szCs w:val="20"/>
      </w:rPr>
    </w:lvl>
    <w:lvl w:ilvl="4">
      <w:start w:val="1"/>
      <w:numFmt w:val="bullet"/>
      <w:lvlText w:val="▪"/>
      <w:lvlJc w:val="left"/>
      <w:pPr>
        <w:ind w:left="5400" w:hanging="360"/>
      </w:pPr>
      <w:rPr>
        <w:rFonts w:ascii="Noto Sans Symbols" w:eastAsia="Noto Sans Symbols" w:hAnsi="Noto Sans Symbols" w:cs="Noto Sans Symbols"/>
        <w:sz w:val="20"/>
        <w:szCs w:val="20"/>
      </w:rPr>
    </w:lvl>
    <w:lvl w:ilvl="5">
      <w:start w:val="1"/>
      <w:numFmt w:val="bullet"/>
      <w:lvlText w:val="▪"/>
      <w:lvlJc w:val="left"/>
      <w:pPr>
        <w:ind w:left="6120" w:hanging="360"/>
      </w:pPr>
      <w:rPr>
        <w:rFonts w:ascii="Noto Sans Symbols" w:eastAsia="Noto Sans Symbols" w:hAnsi="Noto Sans Symbols" w:cs="Noto Sans Symbols"/>
        <w:sz w:val="20"/>
        <w:szCs w:val="20"/>
      </w:rPr>
    </w:lvl>
    <w:lvl w:ilvl="6">
      <w:start w:val="1"/>
      <w:numFmt w:val="bullet"/>
      <w:lvlText w:val="▪"/>
      <w:lvlJc w:val="left"/>
      <w:pPr>
        <w:ind w:left="6840" w:hanging="360"/>
      </w:pPr>
      <w:rPr>
        <w:rFonts w:ascii="Noto Sans Symbols" w:eastAsia="Noto Sans Symbols" w:hAnsi="Noto Sans Symbols" w:cs="Noto Sans Symbols"/>
        <w:sz w:val="20"/>
        <w:szCs w:val="20"/>
      </w:rPr>
    </w:lvl>
    <w:lvl w:ilvl="7">
      <w:start w:val="1"/>
      <w:numFmt w:val="bullet"/>
      <w:lvlText w:val="▪"/>
      <w:lvlJc w:val="left"/>
      <w:pPr>
        <w:ind w:left="7560" w:hanging="360"/>
      </w:pPr>
      <w:rPr>
        <w:rFonts w:ascii="Noto Sans Symbols" w:eastAsia="Noto Sans Symbols" w:hAnsi="Noto Sans Symbols" w:cs="Noto Sans Symbols"/>
        <w:sz w:val="20"/>
        <w:szCs w:val="20"/>
      </w:rPr>
    </w:lvl>
    <w:lvl w:ilvl="8">
      <w:start w:val="1"/>
      <w:numFmt w:val="bullet"/>
      <w:lvlText w:val="▪"/>
      <w:lvlJc w:val="left"/>
      <w:pPr>
        <w:ind w:left="8280" w:hanging="360"/>
      </w:pPr>
      <w:rPr>
        <w:rFonts w:ascii="Noto Sans Symbols" w:eastAsia="Noto Sans Symbols" w:hAnsi="Noto Sans Symbols" w:cs="Noto Sans Symbols"/>
        <w:sz w:val="20"/>
        <w:szCs w:val="20"/>
      </w:rPr>
    </w:lvl>
  </w:abstractNum>
  <w:abstractNum w:abstractNumId="2" w15:restartNumberingAfterBreak="0">
    <w:nsid w:val="53E361D4"/>
    <w:multiLevelType w:val="multilevel"/>
    <w:tmpl w:val="9E548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AF5902"/>
    <w:multiLevelType w:val="multilevel"/>
    <w:tmpl w:val="F7EA6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F2D6A27"/>
    <w:multiLevelType w:val="multilevel"/>
    <w:tmpl w:val="4CA81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9569972">
    <w:abstractNumId w:val="0"/>
  </w:num>
  <w:num w:numId="2" w16cid:durableId="1482236320">
    <w:abstractNumId w:val="2"/>
  </w:num>
  <w:num w:numId="3" w16cid:durableId="758910700">
    <w:abstractNumId w:val="4"/>
  </w:num>
  <w:num w:numId="4" w16cid:durableId="2084062928">
    <w:abstractNumId w:val="1"/>
  </w:num>
  <w:num w:numId="5" w16cid:durableId="1167477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4E1"/>
    <w:rsid w:val="00285084"/>
    <w:rsid w:val="002D64E1"/>
    <w:rsid w:val="00B65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B9D895C-A833-ED4B-8B47-59F8B273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352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2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2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352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52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52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52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52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52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2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2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257"/>
    <w:rPr>
      <w:rFonts w:eastAsiaTheme="majorEastAsia" w:cstheme="majorBidi"/>
      <w:color w:val="272727" w:themeColor="text1" w:themeTint="D8"/>
    </w:rPr>
  </w:style>
  <w:style w:type="character" w:customStyle="1" w:styleId="TitleChar">
    <w:name w:val="Title Char"/>
    <w:basedOn w:val="DefaultParagraphFont"/>
    <w:link w:val="Title"/>
    <w:uiPriority w:val="10"/>
    <w:rsid w:val="0003525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352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257"/>
    <w:pPr>
      <w:spacing w:before="160"/>
      <w:jc w:val="center"/>
    </w:pPr>
    <w:rPr>
      <w:i/>
      <w:iCs/>
      <w:color w:val="404040" w:themeColor="text1" w:themeTint="BF"/>
    </w:rPr>
  </w:style>
  <w:style w:type="character" w:customStyle="1" w:styleId="QuoteChar">
    <w:name w:val="Quote Char"/>
    <w:basedOn w:val="DefaultParagraphFont"/>
    <w:link w:val="Quote"/>
    <w:uiPriority w:val="29"/>
    <w:rsid w:val="00035257"/>
    <w:rPr>
      <w:i/>
      <w:iCs/>
      <w:color w:val="404040" w:themeColor="text1" w:themeTint="BF"/>
    </w:rPr>
  </w:style>
  <w:style w:type="paragraph" w:styleId="ListParagraph">
    <w:name w:val="List Paragraph"/>
    <w:basedOn w:val="Normal"/>
    <w:uiPriority w:val="34"/>
    <w:qFormat/>
    <w:rsid w:val="00035257"/>
    <w:pPr>
      <w:ind w:left="720"/>
      <w:contextualSpacing/>
    </w:pPr>
  </w:style>
  <w:style w:type="character" w:styleId="IntenseEmphasis">
    <w:name w:val="Intense Emphasis"/>
    <w:basedOn w:val="DefaultParagraphFont"/>
    <w:uiPriority w:val="21"/>
    <w:qFormat/>
    <w:rsid w:val="00035257"/>
    <w:rPr>
      <w:i/>
      <w:iCs/>
      <w:color w:val="0F4761" w:themeColor="accent1" w:themeShade="BF"/>
    </w:rPr>
  </w:style>
  <w:style w:type="paragraph" w:styleId="IntenseQuote">
    <w:name w:val="Intense Quote"/>
    <w:basedOn w:val="Normal"/>
    <w:next w:val="Normal"/>
    <w:link w:val="IntenseQuoteChar"/>
    <w:uiPriority w:val="30"/>
    <w:qFormat/>
    <w:rsid w:val="000352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5257"/>
    <w:rPr>
      <w:i/>
      <w:iCs/>
      <w:color w:val="0F4761" w:themeColor="accent1" w:themeShade="BF"/>
    </w:rPr>
  </w:style>
  <w:style w:type="character" w:styleId="IntenseReference">
    <w:name w:val="Intense Reference"/>
    <w:basedOn w:val="DefaultParagraphFont"/>
    <w:uiPriority w:val="32"/>
    <w:qFormat/>
    <w:rsid w:val="00035257"/>
    <w:rPr>
      <w:b/>
      <w:bCs/>
      <w:smallCaps/>
      <w:color w:val="0F4761" w:themeColor="accent1" w:themeShade="BF"/>
      <w:spacing w:val="5"/>
    </w:rPr>
  </w:style>
  <w:style w:type="paragraph" w:styleId="NormalWeb">
    <w:name w:val="Normal (Web)"/>
    <w:basedOn w:val="Normal"/>
    <w:uiPriority w:val="99"/>
    <w:unhideWhenUsed/>
    <w:rsid w:val="00E3114A"/>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E3114A"/>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fKvgYnfRKtg2Ti6pGLwtaF6GnA==">CgMxLjAyDmguNG56NmswNG9hcHNmMg5oLmp1eW42ajNrdWJkNjIOaC5nZGZ1eWpvanRoMGEyDmguOHM5Zmdzc202d3BnMg5oLnh6cHVmNGF3aHB4djIOaC55d2l5eHIybDM3N3kyDmgubm9hZHdzbHRmejV6Mg5oLnZpcTVidms4cHg1OTIOaC52cjVpNWc5a2pyYTMyDmguZXc1YjY3bnN5MHZ1Mg5oLm9jdTljd3IwZDV6YTgAciExUzczNXdHdTVrUTEwSE5GU1J6RFE0WlBHS1ZMYml5M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1888</Words>
  <Characters>10768</Characters>
  <Application>Microsoft Office Word</Application>
  <DocSecurity>0</DocSecurity>
  <Lines>89</Lines>
  <Paragraphs>25</Paragraphs>
  <ScaleCrop>false</ScaleCrop>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Alejandro Vega Sainz</dc:creator>
  <cp:lastModifiedBy>Sarah Robertson</cp:lastModifiedBy>
  <cp:revision>2</cp:revision>
  <dcterms:created xsi:type="dcterms:W3CDTF">2025-10-07T16:18:00Z</dcterms:created>
  <dcterms:modified xsi:type="dcterms:W3CDTF">2025-10-07T16:18:00Z</dcterms:modified>
</cp:coreProperties>
</file>